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4D18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sz w:val="44"/>
        </w:rPr>
      </w:pPr>
    </w:p>
    <w:p w14:paraId="609DC7E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sz w:val="44"/>
        </w:rPr>
      </w:pPr>
      <w:r>
        <w:rPr>
          <w:rFonts w:hint="eastAsia" w:ascii="方正小标宋简体" w:eastAsia="方正小标宋简体"/>
          <w:sz w:val="44"/>
        </w:rPr>
        <w:t>关于全面开展知识产权纠纷快速处理工作</w:t>
      </w:r>
    </w:p>
    <w:p w14:paraId="12A9C32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sz w:val="44"/>
        </w:rPr>
      </w:pPr>
      <w:r>
        <w:rPr>
          <w:rFonts w:hint="eastAsia" w:ascii="方正小标宋简体" w:eastAsia="方正小标宋简体"/>
          <w:sz w:val="44"/>
        </w:rPr>
        <w:t>的通知（征求意见稿）</w:t>
      </w:r>
      <w:bookmarkStart w:id="1" w:name="_GoBack"/>
      <w:bookmarkEnd w:id="1"/>
    </w:p>
    <w:p w14:paraId="1116EFB4">
      <w:pPr>
        <w:pStyle w:val="2"/>
        <w:keepNext w:val="0"/>
        <w:keepLines w:val="0"/>
        <w:pageBreakBefore w:val="0"/>
        <w:widowControl w:val="0"/>
        <w:kinsoku/>
        <w:wordWrap/>
        <w:overflowPunct/>
        <w:topLinePunct w:val="0"/>
        <w:autoSpaceDE/>
        <w:autoSpaceDN/>
        <w:bidi w:val="0"/>
        <w:adjustRightInd/>
        <w:snapToGrid/>
        <w:spacing w:line="640" w:lineRule="exact"/>
        <w:jc w:val="center"/>
        <w:textAlignment w:val="auto"/>
      </w:pPr>
    </w:p>
    <w:p w14:paraId="088C67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仿宋"/>
          <w:szCs w:val="32"/>
        </w:rPr>
      </w:pPr>
      <w:r>
        <w:rPr>
          <w:rFonts w:hint="eastAsia" w:ascii="Times New Roman" w:hAnsi="Times New Roman" w:cs="仿宋"/>
          <w:szCs w:val="32"/>
        </w:rPr>
        <w:t>各县（市、区）市场监督管理局（知识产权局）、人民法院、人民检察院、公安局、党委宣传部（版权局）</w:t>
      </w:r>
      <w:r>
        <w:rPr>
          <w:rFonts w:hint="eastAsia" w:ascii="Times New Roman" w:hAnsi="Times New Roman" w:cs="仿宋"/>
          <w:szCs w:val="32"/>
          <w:lang w:eastAsia="zh-CN"/>
        </w:rPr>
        <w:t>、</w:t>
      </w:r>
      <w:r>
        <w:rPr>
          <w:rFonts w:hint="eastAsia" w:ascii="Times New Roman" w:hAnsi="Times New Roman" w:cs="仿宋"/>
          <w:szCs w:val="32"/>
          <w:lang w:val="en-US" w:eastAsia="zh-CN"/>
        </w:rPr>
        <w:t>文旅局、司法局</w:t>
      </w:r>
      <w:r>
        <w:rPr>
          <w:rFonts w:hint="eastAsia" w:ascii="Times New Roman" w:hAnsi="Times New Roman" w:cs="仿宋"/>
          <w:szCs w:val="32"/>
        </w:rPr>
        <w:t>：</w:t>
      </w:r>
    </w:p>
    <w:p w14:paraId="4AC9426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cs="仿宋"/>
          <w:szCs w:val="32"/>
        </w:rPr>
      </w:pPr>
      <w:r>
        <w:rPr>
          <w:rFonts w:hint="eastAsia" w:ascii="Times New Roman" w:hAnsi="Times New Roman" w:cs="仿宋"/>
          <w:szCs w:val="32"/>
        </w:rPr>
        <w:t>为深入贯彻落实《知识产权强国建设纲要（2021—2035年）》《关于强化知识产权保护的意见》</w:t>
      </w:r>
      <w:r>
        <w:rPr>
          <w:rFonts w:hint="eastAsia" w:cs="仿宋"/>
          <w:szCs w:val="32"/>
          <w:lang w:val="en-US" w:eastAsia="zh-CN"/>
        </w:rPr>
        <w:t>政策部署</w:t>
      </w:r>
      <w:r>
        <w:rPr>
          <w:rFonts w:hint="eastAsia" w:ascii="Times New Roman" w:hAnsi="Times New Roman" w:cs="仿宋"/>
          <w:szCs w:val="32"/>
        </w:rPr>
        <w:t>，严格对标《国家知识产权局关于加强知识产权保护中心和快速维权中心运行管理 高质量推进知识产权快速协同保护工作的意见》工作要求，</w:t>
      </w:r>
      <w:r>
        <w:rPr>
          <w:rFonts w:hint="eastAsia" w:ascii="Times New Roman" w:hAnsi="Times New Roman" w:cs="仿宋"/>
          <w:szCs w:val="32"/>
          <w:lang w:val="en-US" w:eastAsia="zh-CN"/>
        </w:rPr>
        <w:t>巩固</w:t>
      </w:r>
      <w:r>
        <w:rPr>
          <w:rFonts w:hint="eastAsia" w:cs="仿宋"/>
          <w:szCs w:val="32"/>
          <w:lang w:val="en-US" w:eastAsia="zh-CN"/>
        </w:rPr>
        <w:t>我市</w:t>
      </w:r>
      <w:r>
        <w:rPr>
          <w:rFonts w:hint="eastAsia" w:ascii="Times New Roman" w:hAnsi="Times New Roman" w:cs="仿宋"/>
          <w:szCs w:val="32"/>
          <w:lang w:val="en-US" w:eastAsia="zh-CN"/>
        </w:rPr>
        <w:t>第二批知识产权纠纷快速处理试点经验成果，</w:t>
      </w:r>
      <w:r>
        <w:rPr>
          <w:rFonts w:hint="eastAsia" w:ascii="Times New Roman" w:hAnsi="Times New Roman" w:cs="仿宋"/>
          <w:szCs w:val="32"/>
        </w:rPr>
        <w:t>立足景德镇国家陶瓷文化传承创新试验区</w:t>
      </w:r>
      <w:r>
        <w:rPr>
          <w:rFonts w:hint="eastAsia" w:cs="仿宋"/>
          <w:szCs w:val="32"/>
          <w:lang w:val="en-US" w:eastAsia="zh-CN"/>
        </w:rPr>
        <w:t>功能</w:t>
      </w:r>
      <w:r>
        <w:rPr>
          <w:rFonts w:hint="eastAsia" w:ascii="Times New Roman" w:hAnsi="Times New Roman" w:cs="仿宋"/>
          <w:szCs w:val="32"/>
        </w:rPr>
        <w:t>定位，依托我市国家级知识产权保护中心</w:t>
      </w:r>
      <w:r>
        <w:rPr>
          <w:rFonts w:hint="eastAsia" w:cs="仿宋"/>
          <w:szCs w:val="32"/>
          <w:lang w:eastAsia="zh-CN"/>
        </w:rPr>
        <w:t>“</w:t>
      </w:r>
      <w:r>
        <w:rPr>
          <w:rFonts w:hint="eastAsia" w:ascii="Times New Roman" w:hAnsi="Times New Roman" w:cs="仿宋"/>
          <w:szCs w:val="32"/>
        </w:rPr>
        <w:t>一站式</w:t>
      </w:r>
      <w:r>
        <w:rPr>
          <w:rFonts w:hint="eastAsia" w:cs="仿宋"/>
          <w:szCs w:val="32"/>
          <w:lang w:eastAsia="zh-CN"/>
        </w:rPr>
        <w:t>”</w:t>
      </w:r>
      <w:r>
        <w:rPr>
          <w:rFonts w:hint="eastAsia" w:cs="仿宋"/>
          <w:szCs w:val="32"/>
          <w:lang w:val="en-US" w:eastAsia="zh-CN"/>
        </w:rPr>
        <w:t>服务</w:t>
      </w:r>
      <w:r>
        <w:rPr>
          <w:rFonts w:hint="eastAsia" w:ascii="Times New Roman" w:hAnsi="Times New Roman" w:cs="仿宋"/>
          <w:szCs w:val="32"/>
        </w:rPr>
        <w:t>平台，全面规范知识产权纠纷快速处理流程，健全多部门联动协同保护</w:t>
      </w:r>
      <w:r>
        <w:rPr>
          <w:rFonts w:hint="eastAsia" w:cs="仿宋"/>
          <w:szCs w:val="32"/>
          <w:lang w:val="en-US" w:eastAsia="zh-CN"/>
        </w:rPr>
        <w:t>工作</w:t>
      </w:r>
      <w:r>
        <w:rPr>
          <w:rFonts w:hint="eastAsia" w:ascii="Times New Roman" w:hAnsi="Times New Roman" w:cs="仿宋"/>
          <w:szCs w:val="32"/>
        </w:rPr>
        <w:t>机制，</w:t>
      </w:r>
      <w:r>
        <w:rPr>
          <w:rFonts w:hint="eastAsia" w:cs="仿宋"/>
          <w:szCs w:val="32"/>
          <w:lang w:val="en-US" w:eastAsia="zh-CN"/>
        </w:rPr>
        <w:t>严格</w:t>
      </w:r>
      <w:r>
        <w:rPr>
          <w:rFonts w:hint="eastAsia" w:ascii="Times New Roman" w:hAnsi="Times New Roman" w:cs="仿宋"/>
          <w:szCs w:val="32"/>
        </w:rPr>
        <w:t>落实案件统一受理、繁简分流、按需分道办理要求，持续提升知识产权纠纷处置质效、服务效能和群众企业满意度，</w:t>
      </w:r>
      <w:r>
        <w:rPr>
          <w:rFonts w:hint="eastAsia" w:cs="仿宋"/>
          <w:szCs w:val="32"/>
          <w:lang w:val="en-US" w:eastAsia="zh-CN"/>
        </w:rPr>
        <w:t>加快</w:t>
      </w:r>
      <w:r>
        <w:rPr>
          <w:rFonts w:hint="eastAsia" w:ascii="Times New Roman" w:hAnsi="Times New Roman" w:cs="仿宋"/>
          <w:szCs w:val="32"/>
        </w:rPr>
        <w:t>构建“严保护、大保护、快保护、同保护”</w:t>
      </w:r>
      <w:r>
        <w:rPr>
          <w:rFonts w:hint="eastAsia" w:cs="仿宋"/>
          <w:szCs w:val="32"/>
          <w:lang w:val="en-US" w:eastAsia="zh-CN"/>
        </w:rPr>
        <w:t>全方位</w:t>
      </w:r>
      <w:r>
        <w:rPr>
          <w:rFonts w:hint="eastAsia" w:ascii="Times New Roman" w:hAnsi="Times New Roman" w:cs="仿宋"/>
          <w:szCs w:val="32"/>
        </w:rPr>
        <w:t>知识产权保护格局，助力全市经济社会高质量发展。结合我市工作实际，现就全面</w:t>
      </w:r>
      <w:r>
        <w:rPr>
          <w:rFonts w:hint="eastAsia" w:cs="仿宋"/>
          <w:szCs w:val="32"/>
          <w:lang w:val="en-US" w:eastAsia="zh-CN"/>
        </w:rPr>
        <w:t>推进</w:t>
      </w:r>
      <w:r>
        <w:rPr>
          <w:rFonts w:hint="eastAsia" w:ascii="Times New Roman" w:hAnsi="Times New Roman" w:cs="仿宋"/>
          <w:szCs w:val="32"/>
        </w:rPr>
        <w:t>知识产权纠纷快速处理工作有关事项通知如下：</w:t>
      </w:r>
    </w:p>
    <w:p w14:paraId="052B03B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黑体" w:cs="黑体"/>
        </w:rPr>
      </w:pPr>
      <w:r>
        <w:rPr>
          <w:rFonts w:hint="eastAsia" w:ascii="Times New Roman" w:hAnsi="Times New Roman" w:eastAsia="黑体" w:cs="黑体"/>
        </w:rPr>
        <w:t>指导思想</w:t>
      </w:r>
    </w:p>
    <w:p w14:paraId="3E69004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cs="仿宋_GB2312"/>
          <w:szCs w:val="32"/>
          <w:lang w:val="en-US" w:eastAsia="zh-CN"/>
        </w:rPr>
      </w:pPr>
      <w:r>
        <w:rPr>
          <w:rFonts w:hint="eastAsia" w:ascii="Times New Roman" w:hAnsi="Times New Roman" w:eastAsia="仿宋_GB2312" w:cs="仿宋_GB2312"/>
          <w:szCs w:val="32"/>
        </w:rPr>
        <w:t>以习近平新时代中国特色社会主义思想为指导，全面贯彻落实党的二十大精神和习近平总书记关于知识产权工作的重要论述，牢牢把握知识产权保护激励创新、</w:t>
      </w:r>
      <w:r>
        <w:rPr>
          <w:rFonts w:hint="eastAsia" w:cs="仿宋_GB2312"/>
          <w:szCs w:val="32"/>
          <w:lang w:val="en-US" w:eastAsia="zh-CN"/>
        </w:rPr>
        <w:t>规范市场、</w:t>
      </w:r>
      <w:r>
        <w:rPr>
          <w:rFonts w:hint="eastAsia" w:ascii="Times New Roman" w:hAnsi="Times New Roman" w:eastAsia="仿宋_GB2312" w:cs="仿宋_GB2312"/>
          <w:szCs w:val="32"/>
        </w:rPr>
        <w:t>优化营商环境的核心作用。</w:t>
      </w:r>
      <w:r>
        <w:rPr>
          <w:rFonts w:hint="eastAsia" w:ascii="Times New Roman" w:hAnsi="Times New Roman" w:cs="仿宋_GB2312"/>
          <w:szCs w:val="32"/>
          <w:lang w:val="en-US" w:eastAsia="zh-CN"/>
        </w:rPr>
        <w:t>充分发挥我市国家级知识产权保护中心、景德镇知识产权法庭等</w:t>
      </w:r>
      <w:r>
        <w:rPr>
          <w:rFonts w:hint="eastAsia" w:cs="仿宋_GB2312"/>
          <w:szCs w:val="32"/>
          <w:lang w:val="en-US" w:eastAsia="zh-CN"/>
        </w:rPr>
        <w:t>专业平台</w:t>
      </w:r>
      <w:r>
        <w:rPr>
          <w:rFonts w:hint="eastAsia" w:ascii="Times New Roman" w:hAnsi="Times New Roman" w:cs="仿宋_GB2312"/>
          <w:szCs w:val="32"/>
          <w:lang w:val="en-US" w:eastAsia="zh-CN"/>
        </w:rPr>
        <w:t>作用，以多部门协同联动为抓手，以知识产权专业技术支撑</w:t>
      </w:r>
      <w:r>
        <w:rPr>
          <w:rFonts w:hint="eastAsia" w:cs="仿宋_GB2312"/>
          <w:szCs w:val="32"/>
          <w:lang w:val="en-US" w:eastAsia="zh-CN"/>
        </w:rPr>
        <w:t>为保障</w:t>
      </w:r>
      <w:r>
        <w:rPr>
          <w:rFonts w:hint="eastAsia" w:ascii="Times New Roman" w:hAnsi="Times New Roman" w:cs="仿宋_GB2312"/>
          <w:szCs w:val="32"/>
          <w:lang w:val="en-US" w:eastAsia="zh-CN"/>
        </w:rPr>
        <w:t>，以提质增效</w:t>
      </w:r>
      <w:r>
        <w:rPr>
          <w:rFonts w:hint="eastAsia" w:cs="仿宋_GB2312"/>
          <w:szCs w:val="32"/>
          <w:lang w:val="en-US" w:eastAsia="zh-CN"/>
        </w:rPr>
        <w:t>、便民利企</w:t>
      </w:r>
      <w:r>
        <w:rPr>
          <w:rFonts w:hint="eastAsia" w:ascii="Times New Roman" w:hAnsi="Times New Roman" w:cs="仿宋_GB2312"/>
          <w:szCs w:val="32"/>
          <w:lang w:val="en-US" w:eastAsia="zh-CN"/>
        </w:rPr>
        <w:t>为目标，统筹整合行政、司法、仲裁、调解、维权援助</w:t>
      </w:r>
      <w:r>
        <w:rPr>
          <w:rFonts w:hint="eastAsia" w:cs="仿宋_GB2312"/>
          <w:szCs w:val="32"/>
          <w:lang w:val="en-US" w:eastAsia="zh-CN"/>
        </w:rPr>
        <w:t>、公证</w:t>
      </w:r>
      <w:r>
        <w:rPr>
          <w:rFonts w:hint="eastAsia" w:ascii="Times New Roman" w:hAnsi="Times New Roman" w:cs="仿宋_GB2312"/>
          <w:szCs w:val="32"/>
          <w:lang w:val="en-US" w:eastAsia="zh-CN"/>
        </w:rPr>
        <w:t>等</w:t>
      </w:r>
      <w:r>
        <w:rPr>
          <w:rFonts w:hint="eastAsia" w:cs="仿宋_GB2312"/>
          <w:szCs w:val="32"/>
          <w:lang w:val="en-US" w:eastAsia="zh-CN"/>
        </w:rPr>
        <w:t>全链条</w:t>
      </w:r>
      <w:r>
        <w:rPr>
          <w:rFonts w:hint="eastAsia" w:ascii="Times New Roman" w:hAnsi="Times New Roman" w:cs="仿宋_GB2312"/>
          <w:szCs w:val="32"/>
          <w:lang w:val="en-US" w:eastAsia="zh-CN"/>
        </w:rPr>
        <w:t>保护资源，健全常态化、</w:t>
      </w:r>
      <w:r>
        <w:rPr>
          <w:rFonts w:hint="eastAsia" w:cs="仿宋_GB2312"/>
          <w:szCs w:val="32"/>
          <w:lang w:val="en-US" w:eastAsia="zh-CN"/>
        </w:rPr>
        <w:t>规范化</w:t>
      </w:r>
      <w:r>
        <w:rPr>
          <w:rFonts w:hint="eastAsia" w:ascii="Times New Roman" w:hAnsi="Times New Roman" w:cs="仿宋_GB2312"/>
          <w:szCs w:val="32"/>
          <w:lang w:val="en-US" w:eastAsia="zh-CN"/>
        </w:rPr>
        <w:t>、高效率的知识产权纠纷快速处理体系</w:t>
      </w:r>
      <w:r>
        <w:rPr>
          <w:rFonts w:hint="eastAsia" w:cs="仿宋_GB2312"/>
          <w:szCs w:val="32"/>
          <w:lang w:val="en-US" w:eastAsia="zh-CN"/>
        </w:rPr>
        <w:t>。持续</w:t>
      </w:r>
      <w:r>
        <w:rPr>
          <w:rFonts w:hint="eastAsia" w:ascii="Times New Roman" w:hAnsi="Times New Roman" w:eastAsia="仿宋_GB2312" w:cs="仿宋_GB2312"/>
          <w:szCs w:val="32"/>
        </w:rPr>
        <w:t>优化完善保护机制</w:t>
      </w:r>
      <w:r>
        <w:rPr>
          <w:rFonts w:hint="eastAsia" w:cs="仿宋_GB2312"/>
          <w:szCs w:val="32"/>
          <w:lang w:eastAsia="zh-CN"/>
        </w:rPr>
        <w:t>、</w:t>
      </w:r>
      <w:r>
        <w:rPr>
          <w:rFonts w:hint="eastAsia" w:cs="仿宋_GB2312"/>
          <w:szCs w:val="32"/>
          <w:lang w:val="en-US" w:eastAsia="zh-CN"/>
        </w:rPr>
        <w:t>再造办事</w:t>
      </w:r>
      <w:r>
        <w:rPr>
          <w:rFonts w:hint="eastAsia" w:ascii="Times New Roman" w:hAnsi="Times New Roman" w:eastAsia="仿宋_GB2312" w:cs="仿宋_GB2312"/>
          <w:szCs w:val="32"/>
        </w:rPr>
        <w:t>流程，全面提升知识产权</w:t>
      </w:r>
      <w:r>
        <w:rPr>
          <w:rFonts w:hint="eastAsia" w:cs="仿宋_GB2312"/>
          <w:szCs w:val="32"/>
          <w:lang w:val="en-US" w:eastAsia="zh-CN"/>
        </w:rPr>
        <w:t>综合</w:t>
      </w:r>
      <w:r>
        <w:rPr>
          <w:rFonts w:hint="eastAsia" w:ascii="Times New Roman" w:hAnsi="Times New Roman" w:eastAsia="仿宋_GB2312" w:cs="仿宋_GB2312"/>
          <w:szCs w:val="32"/>
        </w:rPr>
        <w:t>保护效能和</w:t>
      </w:r>
      <w:r>
        <w:rPr>
          <w:rFonts w:hint="eastAsia" w:cs="仿宋_GB2312"/>
          <w:szCs w:val="32"/>
          <w:lang w:val="en-US" w:eastAsia="zh-CN"/>
        </w:rPr>
        <w:t>公共</w:t>
      </w:r>
      <w:r>
        <w:rPr>
          <w:rFonts w:hint="eastAsia" w:ascii="Times New Roman" w:hAnsi="Times New Roman" w:eastAsia="仿宋_GB2312" w:cs="仿宋_GB2312"/>
          <w:szCs w:val="32"/>
        </w:rPr>
        <w:t>服务水平，</w:t>
      </w:r>
      <w:r>
        <w:rPr>
          <w:rFonts w:hint="eastAsia" w:cs="仿宋_GB2312"/>
          <w:szCs w:val="32"/>
          <w:lang w:val="en-US" w:eastAsia="zh-CN"/>
        </w:rPr>
        <w:t>充分</w:t>
      </w:r>
      <w:r>
        <w:rPr>
          <w:rFonts w:hint="eastAsia" w:ascii="Times New Roman" w:hAnsi="Times New Roman" w:eastAsia="仿宋_GB2312" w:cs="仿宋_GB2312"/>
          <w:szCs w:val="32"/>
        </w:rPr>
        <w:t>激发创新创造活力，以全链条知识产权保护护航</w:t>
      </w:r>
      <w:r>
        <w:rPr>
          <w:rFonts w:hint="eastAsia" w:cs="仿宋_GB2312"/>
          <w:szCs w:val="32"/>
          <w:lang w:val="en-US" w:eastAsia="zh-CN"/>
        </w:rPr>
        <w:t>我市优势产业</w:t>
      </w:r>
      <w:r>
        <w:rPr>
          <w:rFonts w:hint="eastAsia" w:ascii="Times New Roman" w:hAnsi="Times New Roman" w:eastAsia="仿宋_GB2312" w:cs="仿宋_GB2312"/>
          <w:szCs w:val="32"/>
        </w:rPr>
        <w:t>创新</w:t>
      </w:r>
      <w:r>
        <w:rPr>
          <w:rFonts w:hint="eastAsia" w:cs="仿宋_GB2312"/>
          <w:szCs w:val="32"/>
          <w:lang w:val="en-US" w:eastAsia="zh-CN"/>
        </w:rPr>
        <w:t>驱动发展</w:t>
      </w:r>
      <w:r>
        <w:rPr>
          <w:rFonts w:hint="eastAsia" w:ascii="Times New Roman" w:hAnsi="Times New Roman" w:eastAsia="仿宋_GB2312" w:cs="仿宋_GB2312"/>
          <w:szCs w:val="32"/>
        </w:rPr>
        <w:t>，以高效便捷的知识产权服务助力知识产权强市建设，以高水平知识产权保护护航景德镇国家陶瓷文化传承创新试验区建设，推动全市经济社会高质量发展。</w:t>
      </w:r>
    </w:p>
    <w:p w14:paraId="3B56464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黑体" w:cs="黑体"/>
        </w:rPr>
      </w:pPr>
      <w:r>
        <w:rPr>
          <w:rFonts w:hint="eastAsia" w:ascii="Times New Roman" w:hAnsi="Times New Roman" w:eastAsia="黑体" w:cs="黑体"/>
        </w:rPr>
        <w:t>总体目标</w:t>
      </w:r>
    </w:p>
    <w:p w14:paraId="682A110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szCs w:val="32"/>
        </w:rPr>
      </w:pPr>
      <w:r>
        <w:rPr>
          <w:rFonts w:hint="eastAsia" w:ascii="Times New Roman" w:hAnsi="Times New Roman" w:eastAsia="仿宋_GB2312" w:cs="仿宋_GB2312"/>
          <w:szCs w:val="32"/>
        </w:rPr>
        <w:t>依托景德镇市国家级知识产权保护中心</w:t>
      </w:r>
      <w:r>
        <w:rPr>
          <w:rFonts w:hint="eastAsia" w:cs="仿宋_GB2312"/>
          <w:szCs w:val="32"/>
          <w:lang w:eastAsia="zh-CN"/>
        </w:rPr>
        <w:t>“</w:t>
      </w:r>
      <w:r>
        <w:rPr>
          <w:rFonts w:hint="eastAsia" w:cs="仿宋_GB2312"/>
          <w:szCs w:val="32"/>
          <w:lang w:val="en-US" w:eastAsia="zh-CN"/>
        </w:rPr>
        <w:t>一站式</w:t>
      </w:r>
      <w:r>
        <w:rPr>
          <w:rFonts w:hint="eastAsia" w:cs="仿宋_GB2312"/>
          <w:szCs w:val="32"/>
          <w:lang w:eastAsia="zh-CN"/>
        </w:rPr>
        <w:t>”</w:t>
      </w:r>
      <w:r>
        <w:rPr>
          <w:rFonts w:hint="eastAsia" w:cs="仿宋_GB2312"/>
          <w:szCs w:val="32"/>
          <w:lang w:val="en-US" w:eastAsia="zh-CN"/>
        </w:rPr>
        <w:t>服务</w:t>
      </w:r>
      <w:r>
        <w:rPr>
          <w:rFonts w:hint="eastAsia" w:ascii="Times New Roman" w:hAnsi="Times New Roman" w:eastAsia="仿宋_GB2312" w:cs="仿宋_GB2312"/>
          <w:szCs w:val="32"/>
        </w:rPr>
        <w:t>平台，整合各类保护资源、优化工作流程，全面建成“统一受理、繁简分流、分道处置、联动协同、闭环办结”的知识产权纠纷快速处理工作体系，固化多部门常态化联动工作机制。</w:t>
      </w:r>
      <w:r>
        <w:rPr>
          <w:rFonts w:hint="eastAsia" w:cs="仿宋_GB2312"/>
          <w:szCs w:val="32"/>
          <w:lang w:val="en-US" w:eastAsia="zh-CN"/>
        </w:rPr>
        <w:t>实现</w:t>
      </w:r>
      <w:r>
        <w:rPr>
          <w:rFonts w:hint="eastAsia" w:ascii="Times New Roman" w:hAnsi="Times New Roman" w:eastAsia="仿宋_GB2312" w:cs="仿宋_GB2312"/>
          <w:szCs w:val="32"/>
        </w:rPr>
        <w:t>专利、商标、著作权、地理标志、商业秘密等各类知识产权纠纷</w:t>
      </w:r>
      <w:r>
        <w:rPr>
          <w:rFonts w:hint="eastAsia" w:cs="仿宋_GB2312"/>
          <w:szCs w:val="32"/>
          <w:lang w:val="en-US" w:eastAsia="zh-CN"/>
        </w:rPr>
        <w:t>快速</w:t>
      </w:r>
      <w:r>
        <w:rPr>
          <w:rFonts w:hint="eastAsia" w:ascii="Times New Roman" w:hAnsi="Times New Roman" w:eastAsia="仿宋_GB2312" w:cs="仿宋_GB2312"/>
          <w:szCs w:val="32"/>
        </w:rPr>
        <w:t>处置，严格落实快速审查、快速确权、快速维权一体化工作要求。通过</w:t>
      </w:r>
      <w:r>
        <w:rPr>
          <w:rFonts w:hint="eastAsia" w:cs="仿宋_GB2312"/>
          <w:szCs w:val="32"/>
          <w:lang w:val="en-US" w:eastAsia="zh-CN"/>
        </w:rPr>
        <w:t>机制创新、</w:t>
      </w:r>
      <w:r>
        <w:rPr>
          <w:rFonts w:hint="eastAsia" w:ascii="Times New Roman" w:hAnsi="Times New Roman" w:eastAsia="仿宋_GB2312" w:cs="仿宋_GB2312"/>
          <w:szCs w:val="32"/>
        </w:rPr>
        <w:t>流程再造、资源整合，持续压缩纠纷</w:t>
      </w:r>
      <w:r>
        <w:rPr>
          <w:rFonts w:hint="eastAsia" w:cs="仿宋_GB2312"/>
          <w:szCs w:val="32"/>
          <w:lang w:val="en-US" w:eastAsia="zh-CN"/>
        </w:rPr>
        <w:t>处理</w:t>
      </w:r>
      <w:r>
        <w:rPr>
          <w:rFonts w:hint="eastAsia" w:ascii="Times New Roman" w:hAnsi="Times New Roman" w:eastAsia="仿宋_GB2312" w:cs="仿宋_GB2312"/>
          <w:szCs w:val="32"/>
        </w:rPr>
        <w:t>时限，</w:t>
      </w:r>
      <w:r>
        <w:rPr>
          <w:rFonts w:hint="eastAsia" w:cs="仿宋_GB2312"/>
          <w:szCs w:val="32"/>
          <w:lang w:val="en-US" w:eastAsia="zh-CN"/>
        </w:rPr>
        <w:t>实现</w:t>
      </w:r>
      <w:r>
        <w:rPr>
          <w:rFonts w:hint="eastAsia" w:ascii="Times New Roman" w:hAnsi="Times New Roman" w:cs="仿宋_GB2312"/>
          <w:szCs w:val="32"/>
          <w:lang w:val="en-US" w:eastAsia="zh-CN"/>
        </w:rPr>
        <w:t>专利侵权</w:t>
      </w:r>
      <w:r>
        <w:rPr>
          <w:rFonts w:hint="eastAsia" w:ascii="Times New Roman" w:hAnsi="Times New Roman" w:eastAsia="仿宋_GB2312" w:cs="仿宋_GB2312"/>
          <w:szCs w:val="32"/>
        </w:rPr>
        <w:t>纠纷</w:t>
      </w:r>
      <w:r>
        <w:rPr>
          <w:rFonts w:hint="eastAsia" w:ascii="Times New Roman" w:hAnsi="Times New Roman" w:cs="仿宋_GB2312"/>
          <w:szCs w:val="32"/>
          <w:lang w:val="en-US" w:eastAsia="zh-CN"/>
        </w:rPr>
        <w:t>行政裁决案件平均办理</w:t>
      </w:r>
      <w:r>
        <w:rPr>
          <w:rFonts w:hint="eastAsia" w:ascii="Times New Roman" w:hAnsi="Times New Roman" w:eastAsia="仿宋_GB2312" w:cs="仿宋_GB2312"/>
          <w:szCs w:val="32"/>
        </w:rPr>
        <w:t>周期较法定时限压缩50%</w:t>
      </w:r>
      <w:r>
        <w:rPr>
          <w:rFonts w:hint="eastAsia" w:cs="仿宋_GB2312"/>
          <w:szCs w:val="32"/>
          <w:lang w:eastAsia="zh-CN"/>
        </w:rPr>
        <w:t>，侵犯著作权行政处罚案件平均办理周期较法定时限压缩30%</w:t>
      </w:r>
      <w:r>
        <w:rPr>
          <w:rFonts w:hint="eastAsia" w:ascii="Times New Roman" w:hAnsi="Times New Roman" w:eastAsia="仿宋_GB2312" w:cs="仿宋_GB2312"/>
          <w:szCs w:val="32"/>
          <w:lang w:val="en-US" w:eastAsia="zh-CN"/>
        </w:rPr>
        <w:t>，知识产权纠纷诉讼案件平均办理周期较法定审限压缩20%</w:t>
      </w:r>
      <w:r>
        <w:rPr>
          <w:rFonts w:hint="eastAsia" w:ascii="Times New Roman" w:hAnsi="Times New Roman" w:eastAsia="仿宋_GB2312" w:cs="仿宋_GB2312"/>
          <w:szCs w:val="32"/>
          <w:lang w:eastAsia="zh-CN"/>
        </w:rPr>
        <w:t>。</w:t>
      </w:r>
      <w:r>
        <w:rPr>
          <w:rFonts w:hint="eastAsia" w:ascii="Times New Roman" w:hAnsi="Times New Roman" w:cs="仿宋_GB2312"/>
          <w:szCs w:val="32"/>
          <w:lang w:val="en-US" w:eastAsia="zh-CN"/>
        </w:rPr>
        <w:t>建立裁诉快速衔接机制，</w:t>
      </w:r>
      <w:r>
        <w:rPr>
          <w:rFonts w:hint="eastAsia" w:cs="仿宋_GB2312"/>
          <w:szCs w:val="32"/>
          <w:lang w:val="en-US" w:eastAsia="zh-CN"/>
        </w:rPr>
        <w:t>显著提升纠纷</w:t>
      </w:r>
      <w:r>
        <w:rPr>
          <w:rFonts w:hint="eastAsia" w:ascii="Times New Roman" w:hAnsi="Times New Roman" w:eastAsia="仿宋_GB2312" w:cs="仿宋_GB2312"/>
          <w:szCs w:val="32"/>
        </w:rPr>
        <w:t>分流精准度、处置办结率、调解成功率、司法确认率</w:t>
      </w:r>
      <w:r>
        <w:rPr>
          <w:rFonts w:hint="eastAsia" w:cs="仿宋_GB2312"/>
          <w:szCs w:val="32"/>
          <w:lang w:eastAsia="zh-CN"/>
        </w:rPr>
        <w:t>，</w:t>
      </w:r>
      <w:r>
        <w:rPr>
          <w:rFonts w:hint="eastAsia" w:cs="仿宋_GB2312"/>
          <w:szCs w:val="32"/>
          <w:lang w:val="en-US" w:eastAsia="zh-CN"/>
        </w:rPr>
        <w:t>全面打通知识产权维权快速通道</w:t>
      </w:r>
      <w:r>
        <w:rPr>
          <w:rFonts w:hint="eastAsia" w:ascii="Times New Roman" w:hAnsi="Times New Roman" w:eastAsia="仿宋_GB2312" w:cs="仿宋_GB2312"/>
          <w:szCs w:val="32"/>
        </w:rPr>
        <w:t>。</w:t>
      </w:r>
    </w:p>
    <w:p w14:paraId="665B423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黑体" w:cs="黑体"/>
        </w:rPr>
      </w:pPr>
      <w:r>
        <w:rPr>
          <w:rFonts w:hint="eastAsia" w:ascii="Times New Roman" w:hAnsi="Times New Roman" w:eastAsia="黑体" w:cs="黑体"/>
        </w:rPr>
        <w:t>工作思路</w:t>
      </w:r>
    </w:p>
    <w:p w14:paraId="4BB7965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cs="仿宋_GB2312"/>
          <w:szCs w:val="32"/>
          <w:lang w:val="en-US" w:eastAsia="zh-CN"/>
        </w:rPr>
      </w:pPr>
      <w:r>
        <w:rPr>
          <w:rFonts w:hint="eastAsia" w:ascii="Times New Roman" w:hAnsi="Times New Roman" w:eastAsia="仿宋_GB2312" w:cs="仿宋_GB2312"/>
          <w:szCs w:val="32"/>
        </w:rPr>
        <w:t>坚持“平台支撑、多级联动、多域协同、闭环高效”工作思路，以市市场监督管理局（知识产权局）为总牵头，</w:t>
      </w:r>
      <w:r>
        <w:rPr>
          <w:rFonts w:hint="eastAsia" w:cs="仿宋_GB2312"/>
          <w:szCs w:val="32"/>
          <w:lang w:val="en-US" w:eastAsia="zh-CN"/>
        </w:rPr>
        <w:t>以市</w:t>
      </w:r>
      <w:r>
        <w:rPr>
          <w:rFonts w:hint="eastAsia" w:ascii="Times New Roman" w:hAnsi="Times New Roman" w:eastAsia="仿宋_GB2312" w:cs="仿宋_GB2312"/>
          <w:szCs w:val="32"/>
        </w:rPr>
        <w:t>知识产权保护中心</w:t>
      </w:r>
      <w:r>
        <w:rPr>
          <w:rFonts w:hint="eastAsia" w:cs="仿宋_GB2312"/>
          <w:szCs w:val="32"/>
          <w:lang w:val="en-US" w:eastAsia="zh-CN"/>
        </w:rPr>
        <w:t>为核心载体和全市知识产权维权援助请求统一受理平台，协同联动法院、检察院、公安、文旅、司法、仲裁委、公证处等职能单位，各县（市、区）市场监管局</w:t>
      </w:r>
      <w:r>
        <w:rPr>
          <w:rFonts w:hint="eastAsia" w:ascii="Times New Roman" w:hAnsi="Times New Roman" w:eastAsia="仿宋_GB2312" w:cs="仿宋_GB2312"/>
          <w:szCs w:val="32"/>
        </w:rPr>
        <w:t>（知识产权局）</w:t>
      </w:r>
      <w:r>
        <w:rPr>
          <w:rFonts w:hint="eastAsia" w:cs="仿宋_GB2312"/>
          <w:szCs w:val="32"/>
          <w:lang w:val="en-US" w:eastAsia="zh-CN"/>
        </w:rPr>
        <w:t>配合协助，构建“市级统筹、中心受理、部门协同、县区协助”的知识产权纠纷快速处理工作体系。严格落实案件繁简分流、按需分道办理要求，建立“简单案件快速办结、复杂疑难案件协同处置”分类工作模式，整合行政裁决、行政处罚、司法审判、仲裁调解、公证存证等多元纠纷化解渠道，强化精准维权援助服务，切实破解知识产权维权周期长、成本高、流程繁、协同弱等痛点难点，持续提升纠纷处理质效，优化全市创新创业生态和营商环境。</w:t>
      </w:r>
    </w:p>
    <w:p w14:paraId="556020A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黑体" w:cs="黑体"/>
        </w:rPr>
      </w:pPr>
      <w:r>
        <w:rPr>
          <w:rFonts w:hint="eastAsia" w:ascii="Times New Roman" w:hAnsi="Times New Roman" w:eastAsia="黑体" w:cs="黑体"/>
          <w:lang w:val="en-US" w:eastAsia="zh-CN"/>
        </w:rPr>
        <w:t>重点工作任务</w:t>
      </w:r>
    </w:p>
    <w:p w14:paraId="17B2854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健全常态联动体系，压实各方工作责任</w:t>
      </w:r>
    </w:p>
    <w:p w14:paraId="574B55D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rPr>
      </w:pPr>
      <w:r>
        <w:rPr>
          <w:rFonts w:hint="eastAsia" w:ascii="Times New Roman" w:hAnsi="Times New Roman" w:eastAsia="仿宋_GB2312" w:cs="仿宋_GB2312"/>
          <w:szCs w:val="32"/>
        </w:rPr>
        <w:t>固化多部门协同工作架构，成立景德镇市知识产权纠纷快速处理工作领导小组，由市市场监管局（知识产权局）牵头</w:t>
      </w:r>
      <w:r>
        <w:rPr>
          <w:rFonts w:hint="eastAsia" w:ascii="Times New Roman" w:hAnsi="Times New Roman" w:cs="仿宋_GB2312"/>
          <w:szCs w:val="32"/>
          <w:lang w:val="en-US" w:eastAsia="zh-CN"/>
        </w:rPr>
        <w:t>统筹</w:t>
      </w:r>
      <w:r>
        <w:rPr>
          <w:rFonts w:hint="eastAsia" w:ascii="Times New Roman" w:hAnsi="Times New Roman" w:eastAsia="仿宋_GB2312" w:cs="仿宋_GB2312"/>
          <w:szCs w:val="32"/>
        </w:rPr>
        <w:t>，</w:t>
      </w:r>
      <w:bookmarkStart w:id="0" w:name="_Hlk141993982"/>
      <w:r>
        <w:rPr>
          <w:rFonts w:hint="eastAsia" w:ascii="Times New Roman" w:hAnsi="Times New Roman" w:eastAsia="仿宋_GB2312" w:cs="仿宋_GB2312"/>
          <w:szCs w:val="32"/>
        </w:rPr>
        <w:t>市中级人民法院、市人民检察院、市公安局、</w:t>
      </w:r>
      <w:r>
        <w:rPr>
          <w:rFonts w:hint="eastAsia" w:ascii="Times New Roman" w:hAnsi="Times New Roman" w:cs="仿宋_GB2312"/>
          <w:szCs w:val="32"/>
          <w:lang w:val="en-US" w:eastAsia="zh-CN"/>
        </w:rPr>
        <w:t>市版权局、</w:t>
      </w:r>
      <w:r>
        <w:rPr>
          <w:rFonts w:hint="eastAsia" w:ascii="Times New Roman" w:hAnsi="Times New Roman" w:eastAsia="仿宋_GB2312" w:cs="仿宋_GB2312"/>
          <w:szCs w:val="32"/>
        </w:rPr>
        <w:t>市文旅局、市司法局、市知识产权保护中心</w:t>
      </w:r>
      <w:bookmarkEnd w:id="0"/>
      <w:r>
        <w:rPr>
          <w:rFonts w:hint="eastAsia" w:ascii="Times New Roman" w:hAnsi="Times New Roman" w:cs="仿宋_GB2312"/>
          <w:szCs w:val="32"/>
          <w:lang w:eastAsia="zh-CN"/>
        </w:rPr>
        <w:t>、</w:t>
      </w:r>
      <w:r>
        <w:rPr>
          <w:rFonts w:hint="eastAsia" w:ascii="Times New Roman" w:hAnsi="Times New Roman" w:cs="仿宋_GB2312"/>
          <w:szCs w:val="32"/>
          <w:lang w:val="en-US" w:eastAsia="zh-CN"/>
        </w:rPr>
        <w:t>市文化市场综合执法支队</w:t>
      </w:r>
      <w:r>
        <w:rPr>
          <w:rFonts w:hint="eastAsia" w:ascii="Times New Roman" w:hAnsi="Times New Roman" w:cs="仿宋_GB2312"/>
          <w:szCs w:val="32"/>
          <w:lang w:eastAsia="zh-CN"/>
        </w:rPr>
        <w:t>、</w:t>
      </w:r>
      <w:r>
        <w:rPr>
          <w:rFonts w:hint="eastAsia" w:ascii="Times New Roman" w:hAnsi="Times New Roman" w:eastAsia="仿宋_GB2312" w:cs="仿宋_GB2312"/>
          <w:szCs w:val="32"/>
        </w:rPr>
        <w:t>景德镇仲裁委</w:t>
      </w:r>
      <w:r>
        <w:rPr>
          <w:rFonts w:hint="eastAsia" w:cs="仿宋_GB2312"/>
          <w:szCs w:val="32"/>
          <w:lang w:eastAsia="zh-CN"/>
        </w:rPr>
        <w:t>、</w:t>
      </w:r>
      <w:r>
        <w:rPr>
          <w:rFonts w:hint="eastAsia" w:cs="仿宋_GB2312"/>
          <w:szCs w:val="32"/>
          <w:lang w:val="en-US" w:eastAsia="zh-CN"/>
        </w:rPr>
        <w:t>景德公证处</w:t>
      </w:r>
      <w:r>
        <w:rPr>
          <w:rFonts w:hint="eastAsia" w:ascii="Times New Roman" w:hAnsi="Times New Roman" w:eastAsia="仿宋_GB2312" w:cs="仿宋_GB2312"/>
          <w:szCs w:val="32"/>
        </w:rPr>
        <w:t>等</w:t>
      </w:r>
      <w:r>
        <w:rPr>
          <w:rFonts w:hint="eastAsia" w:ascii="Times New Roman" w:hAnsi="Times New Roman" w:cs="仿宋_GB2312"/>
          <w:szCs w:val="32"/>
          <w:lang w:val="en-US" w:eastAsia="zh-CN"/>
        </w:rPr>
        <w:t>为成员单位。各成员单位明确</w:t>
      </w:r>
      <w:r>
        <w:rPr>
          <w:rFonts w:hint="eastAsia" w:ascii="Times New Roman" w:hAnsi="Times New Roman" w:eastAsia="仿宋_GB2312" w:cs="仿宋_GB2312"/>
          <w:szCs w:val="32"/>
        </w:rPr>
        <w:t>一名科级干部担任</w:t>
      </w:r>
      <w:r>
        <w:rPr>
          <w:rFonts w:hint="eastAsia" w:ascii="Times New Roman" w:hAnsi="Times New Roman" w:cs="仿宋_GB2312"/>
          <w:szCs w:val="32"/>
          <w:lang w:val="en-US" w:eastAsia="zh-CN"/>
        </w:rPr>
        <w:t>专职</w:t>
      </w:r>
      <w:r>
        <w:rPr>
          <w:rFonts w:hint="eastAsia" w:ascii="Times New Roman" w:hAnsi="Times New Roman" w:eastAsia="仿宋_GB2312" w:cs="仿宋_GB2312"/>
          <w:szCs w:val="32"/>
        </w:rPr>
        <w:t>联络员，建立常态化沟通对接、协同办案、定期会商工作机制，确保各项工作落地落细、常态长效推进。</w:t>
      </w:r>
    </w:p>
    <w:p w14:paraId="5F89558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完善制度规范体系，夯实快</w:t>
      </w:r>
      <w:r>
        <w:rPr>
          <w:rFonts w:hint="eastAsia" w:eastAsia="楷体" w:cs="楷体"/>
          <w:b w:val="0"/>
          <w:bCs w:val="0"/>
          <w:sz w:val="32"/>
          <w:szCs w:val="32"/>
          <w:lang w:val="en-US" w:eastAsia="zh-CN"/>
        </w:rPr>
        <w:t>速处理</w:t>
      </w:r>
      <w:r>
        <w:rPr>
          <w:rFonts w:hint="eastAsia" w:ascii="Times New Roman" w:hAnsi="Times New Roman" w:eastAsia="楷体" w:cs="楷体"/>
          <w:b w:val="0"/>
          <w:bCs w:val="0"/>
          <w:sz w:val="32"/>
          <w:szCs w:val="32"/>
        </w:rPr>
        <w:t>制度</w:t>
      </w:r>
    </w:p>
    <w:p w14:paraId="1F530E3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szCs w:val="32"/>
        </w:rPr>
      </w:pPr>
      <w:r>
        <w:rPr>
          <w:rFonts w:hint="eastAsia" w:ascii="Times New Roman" w:hAnsi="Times New Roman" w:eastAsia="仿宋_GB2312" w:cs="仿宋_GB2312"/>
          <w:szCs w:val="32"/>
        </w:rPr>
        <w:t>依托</w:t>
      </w:r>
      <w:r>
        <w:rPr>
          <w:rFonts w:hint="eastAsia" w:ascii="Times New Roman" w:hAnsi="Times New Roman" w:cs="仿宋_GB2312"/>
          <w:szCs w:val="32"/>
          <w:lang w:val="en-US" w:eastAsia="zh-CN"/>
        </w:rPr>
        <w:t>我市</w:t>
      </w:r>
      <w:r>
        <w:rPr>
          <w:rFonts w:hint="eastAsia" w:ascii="Times New Roman" w:hAnsi="Times New Roman" w:eastAsia="仿宋_GB2312" w:cs="仿宋_GB2312"/>
          <w:szCs w:val="32"/>
        </w:rPr>
        <w:t>现有</w:t>
      </w:r>
      <w:r>
        <w:rPr>
          <w:rFonts w:hint="eastAsia" w:cs="仿宋_GB2312"/>
          <w:szCs w:val="32"/>
          <w:lang w:val="en-US" w:eastAsia="zh-CN"/>
        </w:rPr>
        <w:t>知识产权</w:t>
      </w:r>
      <w:r>
        <w:rPr>
          <w:rFonts w:hint="eastAsia" w:ascii="Times New Roman" w:hAnsi="Times New Roman" w:eastAsia="仿宋_GB2312" w:cs="仿宋_GB2312"/>
          <w:szCs w:val="32"/>
        </w:rPr>
        <w:t>政策</w:t>
      </w:r>
      <w:r>
        <w:rPr>
          <w:rFonts w:hint="eastAsia" w:cs="仿宋_GB2312"/>
          <w:szCs w:val="32"/>
          <w:lang w:val="en-US" w:eastAsia="zh-CN"/>
        </w:rPr>
        <w:t>制度</w:t>
      </w:r>
      <w:r>
        <w:rPr>
          <w:rFonts w:hint="eastAsia" w:ascii="Times New Roman" w:hAnsi="Times New Roman" w:eastAsia="仿宋_GB2312" w:cs="仿宋_GB2312"/>
          <w:szCs w:val="32"/>
        </w:rPr>
        <w:t>，细化</w:t>
      </w:r>
      <w:r>
        <w:rPr>
          <w:rFonts w:hint="eastAsia" w:cs="仿宋_GB2312"/>
          <w:szCs w:val="32"/>
          <w:lang w:val="en-US" w:eastAsia="zh-CN"/>
        </w:rPr>
        <w:t>完善</w:t>
      </w:r>
      <w:r>
        <w:rPr>
          <w:rFonts w:hint="eastAsia" w:ascii="Times New Roman" w:hAnsi="Times New Roman" w:eastAsia="仿宋_GB2312" w:cs="仿宋_GB2312"/>
          <w:szCs w:val="32"/>
        </w:rPr>
        <w:t>落地配套</w:t>
      </w:r>
      <w:r>
        <w:rPr>
          <w:rFonts w:hint="eastAsia" w:cs="仿宋_GB2312"/>
          <w:szCs w:val="32"/>
          <w:lang w:val="en-US" w:eastAsia="zh-CN"/>
        </w:rPr>
        <w:t>犯规</w:t>
      </w:r>
      <w:r>
        <w:rPr>
          <w:rFonts w:hint="eastAsia" w:ascii="Times New Roman" w:hAnsi="Times New Roman" w:eastAsia="仿宋_GB2312" w:cs="仿宋_GB2312"/>
          <w:szCs w:val="32"/>
        </w:rPr>
        <w:t>，构建全方位、标准化</w:t>
      </w:r>
      <w:r>
        <w:rPr>
          <w:rFonts w:hint="eastAsia" w:cs="仿宋_GB2312"/>
          <w:szCs w:val="32"/>
          <w:lang w:eastAsia="zh-CN"/>
        </w:rPr>
        <w:t>、</w:t>
      </w:r>
      <w:r>
        <w:rPr>
          <w:rFonts w:hint="eastAsia" w:cs="仿宋_GB2312"/>
          <w:szCs w:val="32"/>
          <w:lang w:val="en-US" w:eastAsia="zh-CN"/>
        </w:rPr>
        <w:t>可落地</w:t>
      </w:r>
      <w:r>
        <w:rPr>
          <w:rFonts w:hint="eastAsia" w:ascii="Times New Roman" w:hAnsi="Times New Roman" w:eastAsia="仿宋_GB2312" w:cs="仿宋_GB2312"/>
          <w:szCs w:val="32"/>
        </w:rPr>
        <w:t>的纠纷快速处理制度体系。严格落实《景德镇市知识产权强市建设行动方案（2023—2035年）》要求，健全行政与司法衔接、多元纠纷化解、信用监管、维权扶持等工作机制。</w:t>
      </w:r>
      <w:r>
        <w:rPr>
          <w:rFonts w:hint="eastAsia" w:ascii="Times New Roman" w:hAnsi="Times New Roman" w:cs="仿宋_GB2312"/>
          <w:szCs w:val="32"/>
          <w:lang w:val="en-US" w:eastAsia="zh-CN"/>
        </w:rPr>
        <w:t>完善</w:t>
      </w:r>
      <w:r>
        <w:rPr>
          <w:rFonts w:hint="eastAsia" w:cs="仿宋_GB2312"/>
          <w:szCs w:val="32"/>
          <w:lang w:val="en-US" w:eastAsia="zh-CN"/>
        </w:rPr>
        <w:t>市</w:t>
      </w:r>
      <w:r>
        <w:rPr>
          <w:rFonts w:hint="eastAsia" w:ascii="Times New Roman" w:hAnsi="Times New Roman" w:cs="仿宋_GB2312"/>
          <w:szCs w:val="32"/>
          <w:lang w:val="en-US" w:eastAsia="zh-CN"/>
        </w:rPr>
        <w:t>知识产权保护中心与</w:t>
      </w:r>
      <w:r>
        <w:rPr>
          <w:rFonts w:hint="eastAsia" w:ascii="Times New Roman" w:hAnsi="Times New Roman" w:eastAsia="仿宋_GB2312" w:cs="仿宋_GB2312"/>
          <w:szCs w:val="32"/>
        </w:rPr>
        <w:t>法院、检察院、公安、版权、</w:t>
      </w:r>
      <w:r>
        <w:rPr>
          <w:rFonts w:hint="eastAsia" w:ascii="Times New Roman" w:hAnsi="Times New Roman" w:cs="仿宋_GB2312"/>
          <w:szCs w:val="32"/>
          <w:lang w:val="en-US" w:eastAsia="zh-CN"/>
        </w:rPr>
        <w:t>文旅、司法</w:t>
      </w:r>
      <w:r>
        <w:rPr>
          <w:rFonts w:hint="eastAsia" w:ascii="Times New Roman" w:hAnsi="Times New Roman" w:eastAsia="仿宋_GB2312" w:cs="仿宋_GB2312"/>
          <w:szCs w:val="32"/>
        </w:rPr>
        <w:t>等</w:t>
      </w:r>
      <w:r>
        <w:rPr>
          <w:rFonts w:hint="eastAsia" w:cs="仿宋_GB2312"/>
          <w:szCs w:val="32"/>
          <w:lang w:val="en-US" w:eastAsia="zh-CN"/>
        </w:rPr>
        <w:t>各</w:t>
      </w:r>
      <w:r>
        <w:rPr>
          <w:rFonts w:hint="eastAsia" w:ascii="Times New Roman" w:hAnsi="Times New Roman" w:eastAsia="仿宋_GB2312" w:cs="仿宋_GB2312"/>
          <w:szCs w:val="32"/>
        </w:rPr>
        <w:t>部门的</w:t>
      </w:r>
      <w:r>
        <w:rPr>
          <w:rFonts w:hint="eastAsia" w:cs="仿宋_GB2312"/>
          <w:szCs w:val="32"/>
          <w:lang w:val="en-US" w:eastAsia="zh-CN"/>
        </w:rPr>
        <w:t>快速协同保护</w:t>
      </w:r>
      <w:r>
        <w:rPr>
          <w:rFonts w:hint="eastAsia" w:ascii="Times New Roman" w:hAnsi="Times New Roman" w:eastAsia="仿宋_GB2312" w:cs="仿宋_GB2312"/>
          <w:szCs w:val="32"/>
        </w:rPr>
        <w:t>机制</w:t>
      </w:r>
      <w:r>
        <w:rPr>
          <w:rFonts w:hint="eastAsia" w:ascii="Times New Roman" w:hAnsi="Times New Roman" w:cs="仿宋_GB2312"/>
          <w:szCs w:val="32"/>
          <w:lang w:eastAsia="zh-CN"/>
        </w:rPr>
        <w:t>，</w:t>
      </w:r>
      <w:r>
        <w:rPr>
          <w:rFonts w:hint="eastAsia" w:ascii="Times New Roman" w:hAnsi="Times New Roman" w:eastAsia="仿宋_GB2312" w:cs="仿宋_GB2312"/>
          <w:szCs w:val="32"/>
        </w:rPr>
        <w:t>形成以行政保护</w:t>
      </w:r>
      <w:r>
        <w:rPr>
          <w:rFonts w:hint="eastAsia" w:cs="仿宋_GB2312"/>
          <w:szCs w:val="32"/>
          <w:lang w:val="en-US" w:eastAsia="zh-CN"/>
        </w:rPr>
        <w:t>与</w:t>
      </w:r>
      <w:r>
        <w:rPr>
          <w:rFonts w:hint="eastAsia" w:ascii="Times New Roman" w:hAnsi="Times New Roman" w:eastAsia="仿宋_GB2312" w:cs="仿宋_GB2312"/>
          <w:szCs w:val="32"/>
        </w:rPr>
        <w:t>司法保护相结合</w:t>
      </w:r>
      <w:r>
        <w:rPr>
          <w:rFonts w:hint="eastAsia" w:ascii="Times New Roman" w:hAnsi="Times New Roman" w:cs="仿宋_GB2312"/>
          <w:szCs w:val="32"/>
          <w:lang w:val="en-US" w:eastAsia="zh-CN"/>
        </w:rPr>
        <w:t>，仲裁、调解、公证多元纠纷化解渠道。</w:t>
      </w:r>
    </w:p>
    <w:p w14:paraId="16F31159">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落实统一受理机制，提升案件处置精度</w:t>
      </w:r>
    </w:p>
    <w:p w14:paraId="6A9C3A4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cs="仿宋_GB2312"/>
          <w:szCs w:val="32"/>
          <w:lang w:val="en-US" w:eastAsia="zh-CN"/>
        </w:rPr>
      </w:pPr>
      <w:r>
        <w:rPr>
          <w:rFonts w:hint="eastAsia" w:cs="仿宋_GB2312"/>
          <w:szCs w:val="32"/>
          <w:lang w:val="en-US" w:eastAsia="zh-CN"/>
        </w:rPr>
        <w:t>严格</w:t>
      </w:r>
      <w:r>
        <w:rPr>
          <w:rFonts w:hint="eastAsia" w:ascii="Times New Roman" w:hAnsi="Times New Roman" w:eastAsia="仿宋_GB2312" w:cs="仿宋_GB2312"/>
          <w:szCs w:val="32"/>
        </w:rPr>
        <w:t>执行《景德镇知识产权纠纷快速处理规范》，</w:t>
      </w:r>
      <w:r>
        <w:rPr>
          <w:rFonts w:hint="eastAsia" w:cs="仿宋_GB2312"/>
          <w:szCs w:val="32"/>
          <w:lang w:val="en-US" w:eastAsia="zh-CN"/>
        </w:rPr>
        <w:t>统一</w:t>
      </w:r>
      <w:r>
        <w:rPr>
          <w:rFonts w:hint="eastAsia" w:ascii="Times New Roman" w:hAnsi="Times New Roman" w:eastAsia="仿宋_GB2312" w:cs="仿宋_GB2312"/>
          <w:szCs w:val="32"/>
        </w:rPr>
        <w:t>固化办案时限</w:t>
      </w:r>
      <w:r>
        <w:rPr>
          <w:rFonts w:hint="eastAsia" w:cs="仿宋_GB2312"/>
          <w:szCs w:val="32"/>
          <w:lang w:eastAsia="zh-CN"/>
        </w:rPr>
        <w:t>、</w:t>
      </w:r>
      <w:r>
        <w:rPr>
          <w:rFonts w:hint="eastAsia" w:cs="仿宋_GB2312"/>
          <w:szCs w:val="32"/>
          <w:lang w:val="en-US" w:eastAsia="zh-CN"/>
        </w:rPr>
        <w:t>流程</w:t>
      </w:r>
      <w:r>
        <w:rPr>
          <w:rFonts w:hint="eastAsia" w:ascii="Times New Roman" w:hAnsi="Times New Roman" w:eastAsia="仿宋_GB2312" w:cs="仿宋_GB2312"/>
          <w:szCs w:val="32"/>
        </w:rPr>
        <w:t>标准</w:t>
      </w:r>
      <w:r>
        <w:rPr>
          <w:rFonts w:hint="eastAsia" w:cs="仿宋_GB2312"/>
          <w:szCs w:val="32"/>
          <w:lang w:val="en-US" w:eastAsia="zh-CN"/>
        </w:rPr>
        <w:t>和处置规范。</w:t>
      </w:r>
      <w:r>
        <w:rPr>
          <w:rFonts w:hint="eastAsia" w:cs="仿宋_GB2312"/>
          <w:szCs w:val="32"/>
          <w:lang w:eastAsia="zh-CN"/>
        </w:rPr>
        <w:t>以市知识产权保护中心为</w:t>
      </w:r>
      <w:r>
        <w:rPr>
          <w:rFonts w:hint="eastAsia" w:cs="仿宋_GB2312"/>
          <w:szCs w:val="32"/>
          <w:lang w:val="en-US" w:eastAsia="zh-CN"/>
        </w:rPr>
        <w:t>全市知识产权维权援助统一受理窗口</w:t>
      </w:r>
      <w:r>
        <w:rPr>
          <w:rFonts w:hint="eastAsia" w:cs="仿宋_GB2312"/>
          <w:szCs w:val="32"/>
          <w:lang w:eastAsia="zh-CN"/>
        </w:rPr>
        <w:t>，实现</w:t>
      </w:r>
      <w:r>
        <w:rPr>
          <w:rFonts w:hint="eastAsia" w:cs="仿宋_GB2312"/>
          <w:szCs w:val="32"/>
          <w:lang w:val="en-US" w:eastAsia="zh-CN"/>
        </w:rPr>
        <w:t>各类</w:t>
      </w:r>
      <w:r>
        <w:rPr>
          <w:rFonts w:hint="eastAsia" w:cs="仿宋_GB2312"/>
          <w:szCs w:val="32"/>
          <w:lang w:eastAsia="zh-CN"/>
        </w:rPr>
        <w:t>知识产权维权援助请求统一受理、集中归集、分类登记、</w:t>
      </w:r>
      <w:r>
        <w:rPr>
          <w:rFonts w:hint="eastAsia" w:cs="仿宋_GB2312"/>
          <w:szCs w:val="32"/>
          <w:lang w:val="en-US" w:eastAsia="zh-CN"/>
        </w:rPr>
        <w:t>闭环管理</w:t>
      </w:r>
      <w:r>
        <w:rPr>
          <w:rFonts w:hint="eastAsia" w:cs="仿宋_GB2312"/>
          <w:szCs w:val="32"/>
          <w:lang w:eastAsia="zh-CN"/>
        </w:rPr>
        <w:t>，杜绝多头受理、分散处置、</w:t>
      </w:r>
      <w:r>
        <w:rPr>
          <w:rFonts w:hint="eastAsia" w:cs="仿宋_GB2312"/>
          <w:szCs w:val="32"/>
          <w:lang w:val="en-US" w:eastAsia="zh-CN"/>
        </w:rPr>
        <w:t>重复办理</w:t>
      </w:r>
      <w:r>
        <w:rPr>
          <w:rFonts w:hint="eastAsia" w:cs="仿宋_GB2312"/>
          <w:szCs w:val="32"/>
          <w:lang w:eastAsia="zh-CN"/>
        </w:rPr>
        <w:t>。全面推行</w:t>
      </w:r>
      <w:r>
        <w:rPr>
          <w:rFonts w:hint="eastAsia" w:cs="仿宋_GB2312"/>
          <w:szCs w:val="32"/>
          <w:lang w:val="en-US" w:eastAsia="zh-CN"/>
        </w:rPr>
        <w:t>纠纷</w:t>
      </w:r>
      <w:r>
        <w:rPr>
          <w:rFonts w:hint="eastAsia" w:cs="仿宋_GB2312"/>
          <w:szCs w:val="32"/>
          <w:lang w:eastAsia="zh-CN"/>
        </w:rPr>
        <w:t>繁简分流、按需分道办理机制，对事实清晰、争议较小、案情简单的批量侵权、轻微侵权案件，纳入简易程序快速办结；对案情复杂、争议较大、涉企重大利益、跨领域跨区域疑难案件，启动多部门</w:t>
      </w:r>
      <w:r>
        <w:rPr>
          <w:rFonts w:hint="eastAsia" w:cs="仿宋_GB2312"/>
          <w:szCs w:val="32"/>
          <w:lang w:val="en-US" w:eastAsia="zh-CN"/>
        </w:rPr>
        <w:t>协同处置工作模式</w:t>
      </w:r>
      <w:r>
        <w:rPr>
          <w:rFonts w:hint="eastAsia" w:cs="仿宋_GB2312"/>
          <w:szCs w:val="32"/>
          <w:lang w:eastAsia="zh-CN"/>
        </w:rPr>
        <w:t>，分类施策、精准处置，大幅提升案件办理效率和质量。</w:t>
      </w:r>
    </w:p>
    <w:p w14:paraId="163DB66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深化多维协同办案，构建</w:t>
      </w:r>
      <w:r>
        <w:rPr>
          <w:rFonts w:hint="eastAsia" w:eastAsia="楷体" w:cs="楷体"/>
          <w:b w:val="0"/>
          <w:bCs w:val="0"/>
          <w:sz w:val="32"/>
          <w:szCs w:val="32"/>
          <w:lang w:val="en-US" w:eastAsia="zh-CN"/>
        </w:rPr>
        <w:t>全链</w:t>
      </w:r>
      <w:r>
        <w:rPr>
          <w:rFonts w:hint="eastAsia" w:ascii="Times New Roman" w:hAnsi="Times New Roman" w:eastAsia="楷体" w:cs="楷体"/>
          <w:b w:val="0"/>
          <w:bCs w:val="0"/>
          <w:sz w:val="32"/>
          <w:szCs w:val="32"/>
        </w:rPr>
        <w:t>保护格局</w:t>
      </w:r>
    </w:p>
    <w:p w14:paraId="044C2359">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32" w:firstLineChars="200"/>
        <w:textAlignment w:val="auto"/>
        <w:outlineLvl w:val="2"/>
        <w:rPr>
          <w:rFonts w:hint="default" w:ascii="Times New Roman" w:hAnsi="Times New Roman" w:cs="仿宋_GB2312"/>
          <w:b w:val="0"/>
          <w:bCs w:val="0"/>
          <w:szCs w:val="32"/>
          <w:lang w:val="en-US" w:eastAsia="zh-CN"/>
        </w:rPr>
      </w:pPr>
      <w:r>
        <w:rPr>
          <w:rFonts w:hint="eastAsia" w:ascii="仿宋_GB2312" w:hAnsi="仿宋_GB2312" w:eastAsia="仿宋_GB2312" w:cs="仿宋_GB2312"/>
          <w:b w:val="0"/>
          <w:bCs w:val="0"/>
          <w:sz w:val="32"/>
          <w:szCs w:val="32"/>
          <w:lang w:val="en-US" w:eastAsia="zh-CN"/>
        </w:rPr>
        <w:t>强化</w:t>
      </w:r>
      <w:r>
        <w:rPr>
          <w:rFonts w:hint="eastAsia" w:ascii="仿宋_GB2312" w:hAnsi="仿宋_GB2312" w:eastAsia="仿宋_GB2312" w:cs="仿宋_GB2312"/>
          <w:b w:val="0"/>
          <w:bCs w:val="0"/>
          <w:sz w:val="32"/>
          <w:szCs w:val="32"/>
        </w:rPr>
        <w:t>行政</w:t>
      </w:r>
      <w:r>
        <w:rPr>
          <w:rFonts w:hint="eastAsia" w:ascii="仿宋_GB2312" w:hAnsi="仿宋_GB2312" w:cs="仿宋_GB2312"/>
          <w:b w:val="0"/>
          <w:bCs w:val="0"/>
          <w:sz w:val="32"/>
          <w:szCs w:val="32"/>
          <w:lang w:val="en-US" w:eastAsia="zh-CN"/>
        </w:rPr>
        <w:t>保护</w:t>
      </w:r>
      <w:r>
        <w:rPr>
          <w:rFonts w:hint="eastAsia" w:ascii="仿宋_GB2312" w:hAnsi="仿宋_GB2312" w:eastAsia="仿宋_GB2312" w:cs="仿宋_GB2312"/>
          <w:b w:val="0"/>
          <w:bCs w:val="0"/>
          <w:sz w:val="32"/>
          <w:szCs w:val="32"/>
          <w:lang w:val="en-US" w:eastAsia="zh-CN"/>
        </w:rPr>
        <w:t>快速</w:t>
      </w:r>
      <w:r>
        <w:rPr>
          <w:rFonts w:hint="eastAsia" w:ascii="仿宋_GB2312" w:hAnsi="仿宋_GB2312" w:cs="仿宋_GB2312"/>
          <w:b w:val="0"/>
          <w:bCs w:val="0"/>
          <w:sz w:val="32"/>
          <w:szCs w:val="32"/>
          <w:lang w:val="en-US" w:eastAsia="zh-CN"/>
        </w:rPr>
        <w:t>处理</w:t>
      </w:r>
    </w:p>
    <w:p w14:paraId="1856648F">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32" w:firstLineChars="200"/>
        <w:textAlignment w:val="auto"/>
        <w:outlineLvl w:val="2"/>
        <w:rPr>
          <w:rFonts w:hint="eastAsia" w:cs="仿宋_GB2312"/>
          <w:szCs w:val="32"/>
          <w:lang w:val="en-US" w:eastAsia="zh-CN"/>
        </w:rPr>
      </w:pPr>
      <w:r>
        <w:rPr>
          <w:rFonts w:hint="eastAsia" w:ascii="Times New Roman" w:hAnsi="Times New Roman" w:cs="仿宋_GB2312"/>
          <w:szCs w:val="32"/>
          <w:lang w:val="en-US" w:eastAsia="zh-CN"/>
        </w:rPr>
        <w:t>市知识产权局</w:t>
      </w:r>
      <w:r>
        <w:rPr>
          <w:rFonts w:hint="eastAsia" w:cs="仿宋_GB2312"/>
          <w:szCs w:val="32"/>
          <w:lang w:val="en-US" w:eastAsia="zh-CN"/>
        </w:rPr>
        <w:t>根据《专利纠纷行政裁决和调解办法》，</w:t>
      </w:r>
      <w:r>
        <w:rPr>
          <w:rFonts w:hint="eastAsia" w:ascii="Times New Roman" w:hAnsi="Times New Roman" w:cs="仿宋_GB2312"/>
          <w:szCs w:val="32"/>
          <w:lang w:val="en-US" w:eastAsia="zh-CN"/>
        </w:rPr>
        <w:t>全面委托市知识产权保护中心以</w:t>
      </w:r>
      <w:r>
        <w:rPr>
          <w:rFonts w:hint="eastAsia" w:cs="仿宋_GB2312"/>
          <w:szCs w:val="32"/>
          <w:lang w:val="en-US" w:eastAsia="zh-CN"/>
        </w:rPr>
        <w:t>其</w:t>
      </w:r>
      <w:r>
        <w:rPr>
          <w:rFonts w:hint="eastAsia" w:ascii="Times New Roman" w:hAnsi="Times New Roman" w:cs="仿宋_GB2312"/>
          <w:szCs w:val="32"/>
          <w:lang w:val="en-US" w:eastAsia="zh-CN"/>
        </w:rPr>
        <w:t>名义</w:t>
      </w:r>
      <w:r>
        <w:rPr>
          <w:rFonts w:hint="eastAsia" w:cs="仿宋_GB2312"/>
          <w:szCs w:val="32"/>
          <w:lang w:val="en-US" w:eastAsia="zh-CN"/>
        </w:rPr>
        <w:t>，在全市范围依法</w:t>
      </w:r>
      <w:r>
        <w:rPr>
          <w:rFonts w:hint="eastAsia" w:ascii="Times New Roman" w:hAnsi="Times New Roman" w:cs="仿宋_GB2312"/>
          <w:szCs w:val="32"/>
          <w:lang w:val="en-US" w:eastAsia="zh-CN"/>
        </w:rPr>
        <w:t>开展专利纠纷行政裁决和调解工作，</w:t>
      </w:r>
      <w:r>
        <w:rPr>
          <w:rFonts w:hint="eastAsia" w:cs="仿宋_GB2312"/>
          <w:szCs w:val="32"/>
          <w:lang w:val="en-US" w:eastAsia="zh-CN"/>
        </w:rPr>
        <w:t>依托</w:t>
      </w:r>
      <w:r>
        <w:rPr>
          <w:rFonts w:hint="eastAsia" w:ascii="Times New Roman" w:hAnsi="Times New Roman" w:cs="仿宋_GB2312"/>
          <w:szCs w:val="32"/>
          <w:lang w:val="en-US" w:eastAsia="zh-CN"/>
        </w:rPr>
        <w:t>市知识产权保护中心</w:t>
      </w:r>
      <w:r>
        <w:rPr>
          <w:rFonts w:hint="eastAsia" w:cs="仿宋_GB2312"/>
          <w:szCs w:val="32"/>
          <w:lang w:val="en-US" w:eastAsia="zh-CN"/>
        </w:rPr>
        <w:t>统一受理窗口，集中受理专利纠纷行政裁决、行政调解请求。市知识产权保护中心严格对照</w:t>
      </w:r>
      <w:r>
        <w:rPr>
          <w:rFonts w:hint="eastAsia" w:ascii="Times New Roman" w:hAnsi="Times New Roman" w:eastAsia="仿宋_GB2312" w:cs="仿宋_GB2312"/>
          <w:szCs w:val="32"/>
        </w:rPr>
        <w:t>快速处理规范</w:t>
      </w:r>
      <w:r>
        <w:rPr>
          <w:rFonts w:hint="eastAsia" w:cs="仿宋_GB2312"/>
          <w:szCs w:val="32"/>
          <w:lang w:val="en-US" w:eastAsia="zh-CN"/>
        </w:rPr>
        <w:t>，落实快速处理要求，提速推进</w:t>
      </w:r>
      <w:r>
        <w:rPr>
          <w:rFonts w:hint="eastAsia" w:ascii="Times New Roman" w:hAnsi="Times New Roman" w:eastAsia="仿宋_GB2312" w:cs="仿宋_GB2312"/>
          <w:szCs w:val="32"/>
        </w:rPr>
        <w:t>专利侵权纠纷案件的受理</w:t>
      </w:r>
      <w:r>
        <w:rPr>
          <w:rFonts w:hint="eastAsia" w:cs="仿宋_GB2312"/>
          <w:szCs w:val="32"/>
          <w:lang w:val="en-US" w:eastAsia="zh-CN"/>
        </w:rPr>
        <w:t>立案</w:t>
      </w:r>
      <w:r>
        <w:rPr>
          <w:rFonts w:hint="eastAsia" w:ascii="Times New Roman" w:hAnsi="Times New Roman" w:eastAsia="仿宋_GB2312" w:cs="仿宋_GB2312"/>
          <w:szCs w:val="32"/>
        </w:rPr>
        <w:t>、调查取证、举证答辩、</w:t>
      </w:r>
      <w:r>
        <w:rPr>
          <w:rFonts w:hint="eastAsia" w:cs="仿宋_GB2312"/>
          <w:szCs w:val="32"/>
          <w:lang w:val="en-US" w:eastAsia="zh-CN"/>
        </w:rPr>
        <w:t>作出裁决、纠纷</w:t>
      </w:r>
      <w:r>
        <w:rPr>
          <w:rFonts w:hint="eastAsia" w:ascii="Times New Roman" w:hAnsi="Times New Roman" w:eastAsia="仿宋_GB2312" w:cs="仿宋_GB2312"/>
          <w:szCs w:val="32"/>
        </w:rPr>
        <w:t>调解</w:t>
      </w:r>
      <w:r>
        <w:rPr>
          <w:rFonts w:hint="eastAsia" w:cs="仿宋_GB2312"/>
          <w:szCs w:val="32"/>
          <w:lang w:eastAsia="zh-CN"/>
        </w:rPr>
        <w:t>、</w:t>
      </w:r>
      <w:r>
        <w:rPr>
          <w:rFonts w:hint="eastAsia" w:ascii="Times New Roman" w:hAnsi="Times New Roman" w:eastAsia="仿宋_GB2312" w:cs="仿宋_GB2312"/>
          <w:szCs w:val="32"/>
        </w:rPr>
        <w:t>司法</w:t>
      </w:r>
      <w:r>
        <w:rPr>
          <w:rFonts w:hint="eastAsia" w:cs="仿宋_GB2312"/>
          <w:szCs w:val="32"/>
          <w:lang w:val="en-US" w:eastAsia="zh-CN"/>
        </w:rPr>
        <w:t>衔接等全流程工作</w:t>
      </w:r>
      <w:r>
        <w:rPr>
          <w:rFonts w:hint="eastAsia" w:cs="仿宋_GB2312"/>
          <w:szCs w:val="32"/>
          <w:lang w:eastAsia="zh-CN"/>
        </w:rPr>
        <w:t>，</w:t>
      </w:r>
      <w:r>
        <w:rPr>
          <w:rFonts w:hint="eastAsia" w:ascii="Times New Roman" w:hAnsi="Times New Roman" w:eastAsia="仿宋_GB2312" w:cs="仿宋_GB2312"/>
          <w:szCs w:val="32"/>
        </w:rPr>
        <w:t>实现</w:t>
      </w:r>
      <w:r>
        <w:rPr>
          <w:rFonts w:hint="eastAsia" w:ascii="Times New Roman" w:hAnsi="Times New Roman" w:cs="仿宋_GB2312"/>
          <w:szCs w:val="32"/>
          <w:lang w:val="en-US" w:eastAsia="zh-CN"/>
        </w:rPr>
        <w:t>专利侵权</w:t>
      </w:r>
      <w:r>
        <w:rPr>
          <w:rFonts w:hint="eastAsia" w:ascii="Times New Roman" w:hAnsi="Times New Roman" w:eastAsia="仿宋_GB2312" w:cs="仿宋_GB2312"/>
          <w:szCs w:val="32"/>
        </w:rPr>
        <w:t>纠纷</w:t>
      </w:r>
      <w:r>
        <w:rPr>
          <w:rFonts w:hint="eastAsia" w:ascii="Times New Roman" w:hAnsi="Times New Roman" w:cs="仿宋_GB2312"/>
          <w:szCs w:val="32"/>
          <w:lang w:val="en-US" w:eastAsia="zh-CN"/>
        </w:rPr>
        <w:t>行政裁决案件平均办理</w:t>
      </w:r>
      <w:r>
        <w:rPr>
          <w:rFonts w:hint="eastAsia" w:ascii="Times New Roman" w:hAnsi="Times New Roman" w:eastAsia="仿宋_GB2312" w:cs="仿宋_GB2312"/>
          <w:szCs w:val="32"/>
        </w:rPr>
        <w:t>周期较法定时限压缩50%，加强案件</w:t>
      </w:r>
      <w:r>
        <w:rPr>
          <w:rFonts w:hint="eastAsia" w:cs="仿宋_GB2312"/>
          <w:szCs w:val="32"/>
          <w:lang w:val="en-US" w:eastAsia="zh-CN"/>
        </w:rPr>
        <w:t>快速跟踪</w:t>
      </w:r>
      <w:r>
        <w:rPr>
          <w:rFonts w:hint="eastAsia" w:ascii="Times New Roman" w:hAnsi="Times New Roman" w:eastAsia="仿宋_GB2312" w:cs="仿宋_GB2312"/>
          <w:szCs w:val="32"/>
        </w:rPr>
        <w:t>反馈，</w:t>
      </w:r>
      <w:r>
        <w:rPr>
          <w:rFonts w:hint="eastAsia" w:cs="仿宋_GB2312"/>
          <w:szCs w:val="32"/>
          <w:lang w:val="en-US" w:eastAsia="zh-CN"/>
        </w:rPr>
        <w:t>高效化解</w:t>
      </w:r>
      <w:r>
        <w:rPr>
          <w:rFonts w:hint="eastAsia" w:ascii="Times New Roman" w:hAnsi="Times New Roman" w:eastAsia="仿宋_GB2312" w:cs="仿宋_GB2312"/>
          <w:szCs w:val="32"/>
        </w:rPr>
        <w:t>专利侵权纠纷。</w:t>
      </w:r>
      <w:r>
        <w:rPr>
          <w:rFonts w:hint="eastAsia" w:cs="仿宋_GB2312"/>
          <w:szCs w:val="32"/>
          <w:lang w:val="en-US" w:eastAsia="zh-CN"/>
        </w:rPr>
        <w:t>各县（市、区）市场监管局（知识产权局）主动配合、协助开展现场勘验、抽样取证、文书送达、取证指导等属地辅助工作。支持市知识产权保护中心积极争取申报，推行无效案件远程视频审理、巡回审理、确权侵权联合审理等多模式口头审理工作，切实为当事人提供便利，快速化解专利纠纷。</w:t>
      </w:r>
    </w:p>
    <w:p w14:paraId="5B731DF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32" w:firstLineChars="200"/>
        <w:textAlignment w:val="auto"/>
        <w:outlineLvl w:val="2"/>
        <w:rPr>
          <w:rFonts w:hint="eastAsia" w:ascii="Times New Roman" w:hAnsi="Times New Roman" w:eastAsia="仿宋_GB2312" w:cs="仿宋_GB2312"/>
          <w:szCs w:val="32"/>
          <w:lang w:val="en-US" w:eastAsia="zh-CN"/>
        </w:rPr>
      </w:pPr>
      <w:r>
        <w:rPr>
          <w:rFonts w:hint="eastAsia" w:ascii="Times New Roman" w:hAnsi="Times New Roman" w:eastAsia="仿宋_GB2312" w:cs="仿宋_GB2312"/>
          <w:szCs w:val="32"/>
          <w:lang w:val="en-US" w:eastAsia="zh-CN"/>
        </w:rPr>
        <w:t>市版权局委托市文化市场综合执法支队，以其名义开展著作权侵权查处、纠纷调处等版权执法工作，针对符合条件的版权案件积极开展行政调解工作，依托人民法院调解平台版权纠纷调解模块开展版权纠纷“总对总”在线诉调对接工作试点，建立协调联动、有机衔接、高效便捷的版权纠纷预防化解工作机制，依法及时高效化解版权纠纷，做深做实版权领域诉源治理工作。</w:t>
      </w:r>
    </w:p>
    <w:p w14:paraId="495F28B3">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32" w:firstLineChars="200"/>
        <w:textAlignment w:val="auto"/>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深化行政</w:t>
      </w:r>
      <w:r>
        <w:rPr>
          <w:rFonts w:hint="eastAsia" w:ascii="仿宋_GB2312" w:hAnsi="仿宋_GB2312" w:eastAsia="仿宋_GB2312" w:cs="仿宋_GB2312"/>
          <w:b w:val="0"/>
          <w:bCs w:val="0"/>
          <w:sz w:val="32"/>
          <w:szCs w:val="32"/>
          <w:lang w:val="en-US" w:eastAsia="zh-CN"/>
        </w:rPr>
        <w:t>司法高效衔接</w:t>
      </w:r>
    </w:p>
    <w:p w14:paraId="40D5DAE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健全“行政裁决+行政调解+司法确认”全链条知识产权快速处理机制，深度融合行政裁决的“权威定责”、行政调解的“柔性止争”与司法确认的“强制保障”的叠加优势，深化</w:t>
      </w:r>
      <w:r>
        <w:rPr>
          <w:rFonts w:hint="eastAsia" w:ascii="Times New Roman" w:hAnsi="Times New Roman" w:eastAsia="仿宋_GB2312" w:cs="仿宋_GB2312"/>
        </w:rPr>
        <w:t>行政保护与司法保护</w:t>
      </w:r>
      <w:r>
        <w:rPr>
          <w:rFonts w:hint="eastAsia" w:ascii="Times New Roman" w:hAnsi="Times New Roman" w:eastAsia="仿宋_GB2312" w:cs="仿宋_GB2312"/>
          <w:lang w:val="en-US" w:eastAsia="zh-CN"/>
        </w:rPr>
        <w:t>双向</w:t>
      </w:r>
      <w:r>
        <w:rPr>
          <w:rFonts w:hint="eastAsia" w:ascii="Times New Roman" w:hAnsi="Times New Roman" w:eastAsia="仿宋_GB2312" w:cs="仿宋_GB2312"/>
        </w:rPr>
        <w:t>衔接</w:t>
      </w:r>
      <w:r>
        <w:rPr>
          <w:rFonts w:hint="eastAsia" w:ascii="Times New Roman" w:hAnsi="Times New Roman" w:eastAsia="仿宋_GB2312" w:cs="仿宋_GB2312"/>
          <w:lang w:val="en-US" w:eastAsia="zh-CN"/>
        </w:rPr>
        <w:t>联动</w:t>
      </w:r>
      <w:r>
        <w:rPr>
          <w:rFonts w:hint="eastAsia" w:ascii="Times New Roman" w:hAnsi="Times New Roman" w:eastAsia="仿宋_GB2312" w:cs="仿宋_GB2312"/>
        </w:rPr>
        <w:t>，大幅缩短维权周期，降低维权成本，提高维权效率，打通企业知识产权维权</w:t>
      </w:r>
      <w:r>
        <w:rPr>
          <w:rFonts w:hint="eastAsia" w:ascii="Times New Roman" w:hAnsi="Times New Roman" w:eastAsia="仿宋_GB2312" w:cs="仿宋_GB2312"/>
          <w:lang w:eastAsia="zh-CN"/>
        </w:rPr>
        <w:t>“</w:t>
      </w:r>
      <w:r>
        <w:rPr>
          <w:rFonts w:hint="eastAsia" w:ascii="Times New Roman" w:hAnsi="Times New Roman" w:eastAsia="仿宋_GB2312" w:cs="仿宋_GB2312"/>
        </w:rPr>
        <w:t>最后一公里</w:t>
      </w:r>
      <w:r>
        <w:rPr>
          <w:rFonts w:hint="eastAsia" w:ascii="Times New Roman" w:hAnsi="Times New Roman" w:eastAsia="仿宋_GB2312" w:cs="仿宋_GB2312"/>
          <w:lang w:eastAsia="zh-CN"/>
        </w:rPr>
        <w:t>”，</w:t>
      </w:r>
      <w:r>
        <w:rPr>
          <w:rFonts w:hint="eastAsia" w:ascii="Times New Roman" w:hAnsi="Times New Roman" w:eastAsia="仿宋_GB2312" w:cs="仿宋_GB2312"/>
          <w:lang w:val="en-US" w:eastAsia="zh-CN"/>
        </w:rPr>
        <w:t>筑牢权益坚实防线。</w:t>
      </w:r>
    </w:p>
    <w:p w14:paraId="1D8A0B7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32" w:firstLineChars="200"/>
        <w:textAlignment w:val="auto"/>
        <w:outlineLvl w:val="2"/>
        <w:rPr>
          <w:rFonts w:hint="eastAsia" w:cs="仿宋_GB2312"/>
          <w:szCs w:val="32"/>
          <w:lang w:val="en-US" w:eastAsia="zh-CN"/>
        </w:rPr>
      </w:pPr>
      <w:r>
        <w:rPr>
          <w:rFonts w:hint="eastAsia" w:cs="仿宋_GB2312"/>
          <w:szCs w:val="32"/>
          <w:lang w:val="en-US" w:eastAsia="zh-CN"/>
        </w:rPr>
        <w:t>建立“行政定性+司法判赔”快速衔接机制，行政机关对知识产权侵权行为依法作出行政裁决或行政处罚等行政行为后，针对侵权赔偿数额无法达成调解的案件，支持引导当事人向人民法院提起诉讼，由案件承办单位启动快速衔接程序，向人民法院一次性移送行政案件全部证据材料。对未在法定期限内提起行政诉讼的行政行为所认定的基本事实，或者行政行为认定的基本事实已为生效裁判所确认的部分，当事人在知识产权民事诉讼中无须再证明，但有相反证据足以推翻的除外。对行政行为已发现但未完全固定的侵权损失类证据，人民法院可根据行政部门的线索，快速出具调查令或依职权调取，行政部门全程协助配合，提升侵权赔偿证据收集效率，实现行政行为与司法审判无缝衔接、高效联动，整体缩减维权时长。</w:t>
      </w:r>
    </w:p>
    <w:p w14:paraId="21A2C15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rPr>
      </w:pPr>
      <w:r>
        <w:rPr>
          <w:rFonts w:hint="eastAsia" w:ascii="Times New Roman" w:hAnsi="Times New Roman" w:eastAsia="仿宋_GB2312" w:cs="仿宋_GB2312"/>
        </w:rPr>
        <w:t>依托市中级人民法院</w:t>
      </w:r>
      <w:r>
        <w:rPr>
          <w:rFonts w:hint="eastAsia" w:cs="仿宋_GB2312"/>
          <w:lang w:val="en-US" w:eastAsia="zh-CN"/>
        </w:rPr>
        <w:t>在市知识产权</w:t>
      </w:r>
      <w:r>
        <w:rPr>
          <w:rFonts w:hint="eastAsia" w:ascii="Times New Roman" w:hAnsi="Times New Roman" w:eastAsia="仿宋_GB2312" w:cs="仿宋_GB2312"/>
        </w:rPr>
        <w:t>保护中心</w:t>
      </w:r>
      <w:r>
        <w:rPr>
          <w:rFonts w:hint="eastAsia" w:cs="仿宋_GB2312"/>
          <w:lang w:val="en-US" w:eastAsia="zh-CN"/>
        </w:rPr>
        <w:t>设立的知识产权</w:t>
      </w:r>
      <w:r>
        <w:rPr>
          <w:rFonts w:hint="eastAsia" w:ascii="Times New Roman" w:hAnsi="Times New Roman" w:eastAsia="仿宋_GB2312" w:cs="仿宋_GB2312"/>
        </w:rPr>
        <w:t>巡回审判庭，常态化开展巡回审判、就地化解纠纷，缩短诉讼周期、降低维权成本。依托</w:t>
      </w:r>
      <w:r>
        <w:rPr>
          <w:rFonts w:hint="eastAsia" w:cs="仿宋_GB2312"/>
          <w:lang w:val="en-US" w:eastAsia="zh-CN"/>
        </w:rPr>
        <w:t>知识产权</w:t>
      </w:r>
      <w:r>
        <w:rPr>
          <w:rFonts w:hint="eastAsia" w:ascii="Times New Roman" w:hAnsi="Times New Roman" w:eastAsia="仿宋_GB2312" w:cs="仿宋_GB2312"/>
        </w:rPr>
        <w:t>检察联络点，深化行刑衔接、</w:t>
      </w:r>
      <w:r>
        <w:rPr>
          <w:rFonts w:hint="eastAsia" w:cs="仿宋_GB2312"/>
          <w:lang w:val="en-US" w:eastAsia="zh-CN"/>
        </w:rPr>
        <w:t>技术咨询、</w:t>
      </w:r>
      <w:r>
        <w:rPr>
          <w:rFonts w:hint="eastAsia" w:ascii="Times New Roman" w:hAnsi="Times New Roman" w:eastAsia="仿宋_GB2312" w:cs="仿宋_GB2312"/>
        </w:rPr>
        <w:t>法律监督、</w:t>
      </w:r>
      <w:r>
        <w:rPr>
          <w:rFonts w:hint="eastAsia" w:cs="仿宋_GB2312"/>
          <w:lang w:val="en-US" w:eastAsia="zh-CN"/>
        </w:rPr>
        <w:t>支持起诉</w:t>
      </w:r>
      <w:r>
        <w:rPr>
          <w:rFonts w:hint="eastAsia" w:ascii="Times New Roman" w:hAnsi="Times New Roman" w:eastAsia="仿宋_GB2312" w:cs="仿宋_GB2312"/>
        </w:rPr>
        <w:t>、联合普法协作，健全知识产权民事、行政、刑事</w:t>
      </w:r>
      <w:r>
        <w:rPr>
          <w:rFonts w:hint="eastAsia" w:cs="仿宋_GB2312"/>
          <w:lang w:eastAsia="zh-CN"/>
        </w:rPr>
        <w:t>、</w:t>
      </w:r>
      <w:r>
        <w:rPr>
          <w:rFonts w:hint="eastAsia" w:cs="仿宋_GB2312"/>
          <w:lang w:val="en-US" w:eastAsia="zh-CN"/>
        </w:rPr>
        <w:t>公益诉讼</w:t>
      </w:r>
      <w:r>
        <w:rPr>
          <w:rFonts w:hint="eastAsia" w:ascii="Times New Roman" w:hAnsi="Times New Roman" w:eastAsia="仿宋_GB2312" w:cs="仿宋_GB2312"/>
        </w:rPr>
        <w:t>“</w:t>
      </w:r>
      <w:r>
        <w:rPr>
          <w:rFonts w:hint="eastAsia" w:cs="仿宋_GB2312"/>
          <w:lang w:val="en-US" w:eastAsia="zh-CN"/>
        </w:rPr>
        <w:t>四</w:t>
      </w:r>
      <w:r>
        <w:rPr>
          <w:rFonts w:hint="eastAsia" w:ascii="Times New Roman" w:hAnsi="Times New Roman" w:eastAsia="仿宋_GB2312" w:cs="仿宋_GB2312"/>
        </w:rPr>
        <w:t>位一体”全方位协同保护机制。</w:t>
      </w:r>
    </w:p>
    <w:p w14:paraId="4D7C5A02">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32" w:firstLineChars="200"/>
        <w:textAlignment w:val="auto"/>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夯实</w:t>
      </w:r>
      <w:r>
        <w:rPr>
          <w:rFonts w:hint="eastAsia" w:ascii="仿宋_GB2312" w:hAnsi="仿宋_GB2312" w:eastAsia="仿宋_GB2312" w:cs="仿宋_GB2312"/>
          <w:b w:val="0"/>
          <w:bCs w:val="0"/>
          <w:sz w:val="32"/>
          <w:szCs w:val="32"/>
          <w:lang w:val="en-US" w:eastAsia="zh-CN"/>
        </w:rPr>
        <w:t>专业技术支撑</w:t>
      </w:r>
      <w:r>
        <w:rPr>
          <w:rFonts w:hint="eastAsia" w:ascii="仿宋_GB2312" w:hAnsi="仿宋_GB2312" w:cs="仿宋_GB2312"/>
          <w:b w:val="0"/>
          <w:bCs w:val="0"/>
          <w:sz w:val="32"/>
          <w:szCs w:val="32"/>
          <w:lang w:val="en-US" w:eastAsia="zh-CN"/>
        </w:rPr>
        <w:t>保障</w:t>
      </w:r>
    </w:p>
    <w:p w14:paraId="74346C2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cs="仿宋_GB2312"/>
          <w:szCs w:val="32"/>
          <w:lang w:eastAsia="zh-CN"/>
        </w:rPr>
      </w:pPr>
      <w:r>
        <w:rPr>
          <w:rFonts w:hint="eastAsia" w:cs="仿宋_GB2312"/>
          <w:szCs w:val="32"/>
          <w:lang w:val="en-US" w:eastAsia="zh-CN"/>
        </w:rPr>
        <w:t>充分发挥国家级知识产权保护中心专业技术支撑职能，常态化</w:t>
      </w:r>
      <w:r>
        <w:rPr>
          <w:rFonts w:hint="eastAsia" w:ascii="Times New Roman" w:hAnsi="Times New Roman" w:eastAsia="仿宋_GB2312" w:cs="仿宋_GB2312"/>
          <w:szCs w:val="32"/>
        </w:rPr>
        <w:t>开展专利侵权判定咨询、技术调查</w:t>
      </w:r>
      <w:r>
        <w:rPr>
          <w:rFonts w:hint="eastAsia" w:cs="仿宋_GB2312"/>
          <w:szCs w:val="32"/>
          <w:lang w:eastAsia="zh-CN"/>
        </w:rPr>
        <w:t>、</w:t>
      </w:r>
      <w:r>
        <w:rPr>
          <w:rFonts w:hint="eastAsia" w:cs="仿宋_GB2312"/>
          <w:szCs w:val="32"/>
          <w:lang w:val="en-US" w:eastAsia="zh-CN"/>
        </w:rPr>
        <w:t>专利检索分析</w:t>
      </w:r>
      <w:r>
        <w:rPr>
          <w:rFonts w:hint="eastAsia" w:ascii="Times New Roman" w:hAnsi="Times New Roman" w:eastAsia="仿宋_GB2312" w:cs="仿宋_GB2312"/>
          <w:szCs w:val="32"/>
        </w:rPr>
        <w:t>等</w:t>
      </w:r>
      <w:r>
        <w:rPr>
          <w:rFonts w:hint="eastAsia" w:cs="仿宋_GB2312"/>
          <w:szCs w:val="32"/>
          <w:lang w:val="en-US" w:eastAsia="zh-CN"/>
        </w:rPr>
        <w:t>工作，为</w:t>
      </w:r>
      <w:r>
        <w:rPr>
          <w:rFonts w:hint="eastAsia" w:ascii="Times New Roman" w:hAnsi="Times New Roman" w:eastAsia="仿宋_GB2312" w:cs="仿宋_GB2312"/>
          <w:szCs w:val="32"/>
        </w:rPr>
        <w:t>行政裁决、司法审判</w:t>
      </w:r>
      <w:r>
        <w:rPr>
          <w:rFonts w:hint="eastAsia" w:cs="仿宋_GB2312"/>
          <w:szCs w:val="32"/>
          <w:lang w:eastAsia="zh-CN"/>
        </w:rPr>
        <w:t>、</w:t>
      </w:r>
      <w:r>
        <w:rPr>
          <w:rFonts w:hint="eastAsia" w:cs="仿宋_GB2312"/>
          <w:szCs w:val="32"/>
          <w:lang w:val="en-US" w:eastAsia="zh-CN"/>
        </w:rPr>
        <w:t>行政处罚、犯罪查处等工作提供有力支撑</w:t>
      </w:r>
      <w:r>
        <w:rPr>
          <w:rFonts w:hint="eastAsia" w:ascii="Times New Roman" w:hAnsi="Times New Roman" w:eastAsia="仿宋_GB2312" w:cs="仿宋_GB2312"/>
          <w:szCs w:val="32"/>
        </w:rPr>
        <w:t>，</w:t>
      </w:r>
      <w:r>
        <w:rPr>
          <w:rFonts w:hint="eastAsia" w:cs="仿宋_GB2312"/>
          <w:szCs w:val="32"/>
          <w:lang w:val="en-US" w:eastAsia="zh-CN"/>
        </w:rPr>
        <w:t>精准对接人民法院、人民检察院、公安局、版权局等办案单位需求，规范</w:t>
      </w:r>
      <w:r>
        <w:rPr>
          <w:rFonts w:hint="eastAsia" w:ascii="Times New Roman" w:hAnsi="Times New Roman" w:eastAsia="仿宋_GB2312" w:cs="仿宋_GB2312"/>
          <w:szCs w:val="32"/>
        </w:rPr>
        <w:t>出具专利侵权判定咨询意见书</w:t>
      </w:r>
      <w:r>
        <w:rPr>
          <w:rFonts w:hint="eastAsia" w:cs="仿宋_GB2312"/>
          <w:szCs w:val="32"/>
          <w:lang w:eastAsia="zh-CN"/>
        </w:rPr>
        <w:t>、</w:t>
      </w:r>
      <w:r>
        <w:rPr>
          <w:rFonts w:hint="eastAsia" w:cs="仿宋_GB2312"/>
          <w:szCs w:val="32"/>
          <w:lang w:val="en-US" w:eastAsia="zh-CN"/>
        </w:rPr>
        <w:t>专利检索报告</w:t>
      </w:r>
      <w:r>
        <w:rPr>
          <w:rFonts w:hint="eastAsia" w:ascii="Times New Roman" w:hAnsi="Times New Roman" w:eastAsia="仿宋_GB2312" w:cs="仿宋_GB2312"/>
          <w:szCs w:val="32"/>
        </w:rPr>
        <w:t>，</w:t>
      </w:r>
      <w:r>
        <w:rPr>
          <w:rFonts w:hint="eastAsia" w:cs="仿宋_GB2312"/>
          <w:szCs w:val="32"/>
          <w:lang w:val="en-US" w:eastAsia="zh-CN"/>
        </w:rPr>
        <w:t>深度</w:t>
      </w:r>
      <w:r>
        <w:rPr>
          <w:rFonts w:hint="eastAsia" w:ascii="Times New Roman" w:hAnsi="Times New Roman" w:eastAsia="仿宋_GB2312" w:cs="仿宋_GB2312"/>
          <w:szCs w:val="32"/>
        </w:rPr>
        <w:t>参与</w:t>
      </w:r>
      <w:r>
        <w:rPr>
          <w:rFonts w:hint="eastAsia" w:cs="仿宋_GB2312"/>
          <w:szCs w:val="32"/>
          <w:lang w:val="en-US" w:eastAsia="zh-CN"/>
        </w:rPr>
        <w:t>各类知识产权</w:t>
      </w:r>
      <w:r>
        <w:rPr>
          <w:rFonts w:hint="eastAsia" w:ascii="Times New Roman" w:hAnsi="Times New Roman" w:eastAsia="仿宋_GB2312" w:cs="仿宋_GB2312"/>
          <w:szCs w:val="32"/>
        </w:rPr>
        <w:t>案件技术调查</w:t>
      </w:r>
      <w:r>
        <w:rPr>
          <w:rFonts w:hint="eastAsia" w:cs="仿宋_GB2312"/>
          <w:szCs w:val="32"/>
          <w:lang w:eastAsia="zh-CN"/>
        </w:rPr>
        <w:t>、</w:t>
      </w:r>
      <w:r>
        <w:rPr>
          <w:rFonts w:hint="eastAsia" w:cs="仿宋_GB2312"/>
          <w:szCs w:val="32"/>
          <w:lang w:val="en-US" w:eastAsia="zh-CN"/>
        </w:rPr>
        <w:t>事实研判</w:t>
      </w:r>
      <w:r>
        <w:rPr>
          <w:rFonts w:hint="eastAsia" w:ascii="Times New Roman" w:hAnsi="Times New Roman" w:eastAsia="仿宋_GB2312" w:cs="仿宋_GB2312"/>
          <w:szCs w:val="32"/>
        </w:rPr>
        <w:t>工作</w:t>
      </w:r>
      <w:r>
        <w:rPr>
          <w:rFonts w:hint="eastAsia" w:cs="仿宋_GB2312"/>
          <w:szCs w:val="32"/>
          <w:lang w:eastAsia="zh-CN"/>
        </w:rPr>
        <w:t>，</w:t>
      </w:r>
      <w:r>
        <w:rPr>
          <w:rFonts w:hint="eastAsia" w:cs="仿宋_GB2312"/>
          <w:szCs w:val="32"/>
          <w:lang w:val="en-US" w:eastAsia="zh-CN"/>
        </w:rPr>
        <w:t>高效</w:t>
      </w:r>
      <w:r>
        <w:rPr>
          <w:rFonts w:hint="eastAsia" w:cs="仿宋_GB2312"/>
          <w:szCs w:val="32"/>
          <w:lang w:eastAsia="zh-CN"/>
        </w:rPr>
        <w:t>破解知识产权案件技术判定难题，保障案件办理专业性、公正性、</w:t>
      </w:r>
      <w:r>
        <w:rPr>
          <w:rFonts w:hint="eastAsia" w:cs="仿宋_GB2312"/>
          <w:szCs w:val="32"/>
          <w:lang w:val="en-US" w:eastAsia="zh-CN"/>
        </w:rPr>
        <w:t>规范性、</w:t>
      </w:r>
      <w:r>
        <w:rPr>
          <w:rFonts w:hint="eastAsia" w:cs="仿宋_GB2312"/>
          <w:szCs w:val="32"/>
          <w:lang w:eastAsia="zh-CN"/>
        </w:rPr>
        <w:t>高效性。</w:t>
      </w:r>
    </w:p>
    <w:p w14:paraId="709AA27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32" w:firstLineChars="200"/>
        <w:textAlignment w:val="auto"/>
        <w:outlineLvl w:val="2"/>
        <w:rPr>
          <w:rFonts w:hint="eastAsia" w:cs="仿宋_GB2312"/>
          <w:szCs w:val="32"/>
          <w:lang w:val="en-US" w:eastAsia="zh-CN"/>
        </w:rPr>
      </w:pPr>
      <w:r>
        <w:rPr>
          <w:rFonts w:hint="eastAsia" w:cs="仿宋_GB2312"/>
          <w:szCs w:val="32"/>
          <w:lang w:val="en-US" w:eastAsia="zh-CN"/>
        </w:rPr>
        <w:t>市知识产权保护中心在日常受理维权援助工作中，发现违法行为明显涉嫌犯罪的，应当及时通报市公安局。市公安局在办理案件过程中，需要核实注册商标信息、涉案专利法律状态、地理标志相关信息的，可以通过市知识产权保护中心核实。对于刑事案件中涉及的商标的使用、相同商标、同一种商品、假冒专利行为等认定问题，市公安局可以依据相关司法解释和国家知识产权局制定的商标、专利侵权判断标准等直接进行认定；必要时，可以商请市知识产权保护中心提供专业意见。</w:t>
      </w:r>
    </w:p>
    <w:p w14:paraId="4CE9E525">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32" w:firstLineChars="200"/>
        <w:textAlignment w:val="auto"/>
        <w:outlineLvl w:val="2"/>
        <w:rPr>
          <w:rFonts w:hint="default" w:cs="仿宋_GB2312"/>
          <w:szCs w:val="32"/>
          <w:lang w:val="en-US" w:eastAsia="zh-CN"/>
        </w:rPr>
      </w:pPr>
      <w:r>
        <w:rPr>
          <w:rFonts w:hint="eastAsia" w:cs="仿宋_GB2312"/>
          <w:szCs w:val="32"/>
          <w:lang w:val="en-US" w:eastAsia="zh-CN"/>
        </w:rPr>
        <w:t>市知识产权保护中心充分利用专利数据库、预审专业技术人员资源优势，在市文化市场综合执法支队在开展著作权侵权查处、纠纷调处等版权执法工作中，协助核查相关是否存在在先外观设计专利，排查权利冲突与在先公开情况，为著作权独创性认定提供辅助意见。</w:t>
      </w:r>
    </w:p>
    <w:p w14:paraId="3526EE4A">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32" w:firstLineChars="200"/>
        <w:textAlignment w:val="auto"/>
        <w:outlineLvl w:val="2"/>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深化</w:t>
      </w:r>
      <w:r>
        <w:rPr>
          <w:rFonts w:hint="eastAsia" w:ascii="仿宋_GB2312" w:hAnsi="仿宋_GB2312" w:eastAsia="仿宋_GB2312" w:cs="仿宋_GB2312"/>
          <w:b w:val="0"/>
          <w:bCs w:val="0"/>
          <w:sz w:val="32"/>
          <w:szCs w:val="32"/>
          <w:lang w:val="en-US" w:eastAsia="zh-CN"/>
        </w:rPr>
        <w:t>仲裁调解多元化解</w:t>
      </w:r>
    </w:p>
    <w:p w14:paraId="2E93769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cs="仿宋_GB2312"/>
          <w:szCs w:val="32"/>
          <w:lang w:val="en-US" w:eastAsia="zh-CN"/>
        </w:rPr>
      </w:pPr>
      <w:r>
        <w:rPr>
          <w:rFonts w:hint="eastAsia" w:cs="仿宋_GB2312"/>
          <w:szCs w:val="32"/>
          <w:lang w:val="en-US" w:eastAsia="zh-CN"/>
        </w:rPr>
        <w:t>依托景德镇</w:t>
      </w:r>
      <w:r>
        <w:rPr>
          <w:rFonts w:hint="eastAsia" w:ascii="Times New Roman" w:hAnsi="Times New Roman" w:eastAsia="仿宋_GB2312" w:cs="仿宋_GB2312"/>
          <w:szCs w:val="32"/>
        </w:rPr>
        <w:t>仲裁委员会知识产权仲裁中心</w:t>
      </w:r>
      <w:r>
        <w:rPr>
          <w:rFonts w:hint="eastAsia" w:cs="仿宋_GB2312"/>
          <w:szCs w:val="32"/>
          <w:lang w:eastAsia="zh-CN"/>
        </w:rPr>
        <w:t>，</w:t>
      </w:r>
      <w:r>
        <w:rPr>
          <w:rFonts w:hint="eastAsia" w:ascii="Times New Roman" w:hAnsi="Times New Roman" w:eastAsia="仿宋_GB2312" w:cs="仿宋_GB2312"/>
          <w:szCs w:val="32"/>
        </w:rPr>
        <w:t>在</w:t>
      </w:r>
      <w:r>
        <w:rPr>
          <w:rFonts w:hint="eastAsia" w:cs="仿宋_GB2312"/>
          <w:szCs w:val="32"/>
          <w:lang w:val="en-US" w:eastAsia="zh-CN"/>
        </w:rPr>
        <w:t>市知识产权保护</w:t>
      </w:r>
      <w:r>
        <w:rPr>
          <w:rFonts w:hint="eastAsia" w:ascii="Times New Roman" w:hAnsi="Times New Roman" w:cs="仿宋_GB2312"/>
          <w:szCs w:val="32"/>
          <w:lang w:val="en-US" w:eastAsia="zh-CN"/>
        </w:rPr>
        <w:t>中心</w:t>
      </w:r>
      <w:r>
        <w:rPr>
          <w:rFonts w:hint="eastAsia" w:cs="仿宋_GB2312"/>
          <w:szCs w:val="32"/>
          <w:lang w:eastAsia="zh-CN"/>
        </w:rPr>
        <w:t>“</w:t>
      </w:r>
      <w:r>
        <w:rPr>
          <w:rFonts w:hint="eastAsia" w:cs="仿宋_GB2312"/>
          <w:szCs w:val="32"/>
          <w:lang w:val="en-US" w:eastAsia="zh-CN"/>
        </w:rPr>
        <w:t>一站式</w:t>
      </w:r>
      <w:r>
        <w:rPr>
          <w:rFonts w:hint="eastAsia" w:cs="仿宋_GB2312"/>
          <w:szCs w:val="32"/>
          <w:lang w:eastAsia="zh-CN"/>
        </w:rPr>
        <w:t>”</w:t>
      </w:r>
      <w:r>
        <w:rPr>
          <w:rFonts w:hint="eastAsia" w:cs="仿宋_GB2312"/>
          <w:szCs w:val="32"/>
          <w:lang w:val="en-US" w:eastAsia="zh-CN"/>
        </w:rPr>
        <w:t>窗口</w:t>
      </w:r>
      <w:r>
        <w:rPr>
          <w:rFonts w:hint="eastAsia" w:ascii="Times New Roman" w:hAnsi="Times New Roman" w:eastAsia="仿宋_GB2312" w:cs="仿宋_GB2312"/>
          <w:szCs w:val="32"/>
        </w:rPr>
        <w:t>受理当事人提出的知识产权纠纷仲裁申请，</w:t>
      </w:r>
      <w:r>
        <w:rPr>
          <w:rFonts w:hint="eastAsia" w:cs="仿宋_GB2312"/>
          <w:szCs w:val="32"/>
          <w:lang w:val="en-US" w:eastAsia="zh-CN"/>
        </w:rPr>
        <w:t>积极推进“行政调解+仲裁确认”、“人民调解+仲裁确认”多元化解新途径，整合各类纠纷化解</w:t>
      </w:r>
      <w:r>
        <w:rPr>
          <w:rFonts w:hint="eastAsia" w:ascii="Times New Roman" w:hAnsi="Times New Roman" w:eastAsia="仿宋_GB2312" w:cs="仿宋_GB2312"/>
          <w:szCs w:val="32"/>
        </w:rPr>
        <w:t>途径优势，快速</w:t>
      </w:r>
      <w:r>
        <w:rPr>
          <w:rFonts w:hint="eastAsia" w:cs="仿宋_GB2312"/>
          <w:szCs w:val="32"/>
          <w:lang w:val="en-US" w:eastAsia="zh-CN"/>
        </w:rPr>
        <w:t>高效处置</w:t>
      </w:r>
      <w:r>
        <w:rPr>
          <w:rFonts w:hint="eastAsia" w:ascii="Times New Roman" w:hAnsi="Times New Roman" w:eastAsia="仿宋_GB2312" w:cs="仿宋_GB2312"/>
          <w:szCs w:val="32"/>
        </w:rPr>
        <w:t>知识产权侵权纠纷</w:t>
      </w:r>
      <w:r>
        <w:rPr>
          <w:rFonts w:hint="eastAsia" w:cs="仿宋_GB2312"/>
          <w:szCs w:val="32"/>
          <w:lang w:val="en-US" w:eastAsia="zh-CN"/>
        </w:rPr>
        <w:t>。</w:t>
      </w:r>
    </w:p>
    <w:p w14:paraId="75D487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cs="仿宋_GB2312"/>
          <w:szCs w:val="32"/>
          <w:lang w:eastAsia="zh-CN"/>
        </w:rPr>
      </w:pPr>
      <w:r>
        <w:rPr>
          <w:rFonts w:hint="eastAsia" w:cs="仿宋_GB2312"/>
          <w:lang w:val="en-US" w:eastAsia="zh-CN"/>
        </w:rPr>
        <w:t>依托市知识产权纠纷人民调解委员会，</w:t>
      </w:r>
      <w:r>
        <w:rPr>
          <w:rFonts w:hint="eastAsia" w:ascii="Times New Roman" w:hAnsi="Times New Roman" w:eastAsia="仿宋_GB2312" w:cs="仿宋_GB2312"/>
          <w:szCs w:val="32"/>
        </w:rPr>
        <w:t>整合专业调解员、行业</w:t>
      </w:r>
      <w:r>
        <w:rPr>
          <w:rFonts w:hint="eastAsia" w:cs="仿宋_GB2312"/>
          <w:szCs w:val="32"/>
          <w:lang w:val="en-US" w:eastAsia="zh-CN"/>
        </w:rPr>
        <w:t>技术</w:t>
      </w:r>
      <w:r>
        <w:rPr>
          <w:rFonts w:hint="eastAsia" w:ascii="Times New Roman" w:hAnsi="Times New Roman" w:eastAsia="仿宋_GB2312" w:cs="仿宋_GB2312"/>
          <w:szCs w:val="32"/>
        </w:rPr>
        <w:t>专家、</w:t>
      </w:r>
      <w:r>
        <w:rPr>
          <w:rFonts w:hint="eastAsia" w:cs="仿宋_GB2312"/>
          <w:szCs w:val="32"/>
          <w:lang w:val="en-US" w:eastAsia="zh-CN"/>
        </w:rPr>
        <w:t>执业</w:t>
      </w:r>
      <w:r>
        <w:rPr>
          <w:rFonts w:hint="eastAsia" w:ascii="Times New Roman" w:hAnsi="Times New Roman" w:eastAsia="仿宋_GB2312" w:cs="仿宋_GB2312"/>
          <w:szCs w:val="32"/>
        </w:rPr>
        <w:t>律师</w:t>
      </w:r>
      <w:r>
        <w:rPr>
          <w:rFonts w:hint="eastAsia" w:cs="仿宋_GB2312"/>
          <w:szCs w:val="32"/>
          <w:lang w:val="en-US" w:eastAsia="zh-CN"/>
        </w:rPr>
        <w:t>等优质</w:t>
      </w:r>
      <w:r>
        <w:rPr>
          <w:rFonts w:hint="eastAsia" w:ascii="Times New Roman" w:hAnsi="Times New Roman" w:eastAsia="仿宋_GB2312" w:cs="仿宋_GB2312"/>
          <w:szCs w:val="32"/>
        </w:rPr>
        <w:t>资源，</w:t>
      </w:r>
      <w:r>
        <w:rPr>
          <w:rFonts w:hint="eastAsia" w:cs="仿宋_GB2312"/>
          <w:lang w:val="en-US" w:eastAsia="zh-CN"/>
        </w:rPr>
        <w:t>深化“总对总”诉调对接机制，配合人民法院落实先行调解、诉中调解工作，常态化推进“人民调解+司法确认”工作模式，全面覆盖多领域知识产权纠纷调解工作</w:t>
      </w:r>
      <w:r>
        <w:rPr>
          <w:rFonts w:hint="eastAsia" w:cs="仿宋_GB2312"/>
          <w:szCs w:val="32"/>
          <w:lang w:eastAsia="zh-CN"/>
        </w:rPr>
        <w:t>。</w:t>
      </w:r>
    </w:p>
    <w:p w14:paraId="6C13390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仿宋_GB2312"/>
          <w:lang w:val="en-US" w:eastAsia="zh-CN"/>
        </w:rPr>
      </w:pPr>
      <w:r>
        <w:rPr>
          <w:rFonts w:hint="eastAsia" w:cs="仿宋_GB2312"/>
          <w:szCs w:val="32"/>
          <w:lang w:val="en-US" w:eastAsia="zh-CN"/>
        </w:rPr>
        <w:t>市知识产权保护中心与公证机构建立快速协同保护机制，协同公证机构对市场、电子商务、展会中侵犯专利权、商标专用权的商品办理保全证据公证，推广“行政调解+公证赋强”、“人民调解+公证赋强”机制，对有给付内容的知识产权纠纷调解协议办理赋予债权文书强制执行效力公证，提升纠纷化解执行力。</w:t>
      </w:r>
    </w:p>
    <w:p w14:paraId="242E7B51">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32" w:firstLineChars="200"/>
        <w:textAlignment w:val="auto"/>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拓宽维权援助服务网络</w:t>
      </w:r>
    </w:p>
    <w:p w14:paraId="2032809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rPr>
      </w:pPr>
      <w:r>
        <w:rPr>
          <w:rFonts w:hint="eastAsia" w:ascii="Times New Roman" w:hAnsi="Times New Roman" w:eastAsia="仿宋_GB2312" w:cs="仿宋_GB2312"/>
        </w:rPr>
        <w:t>依托陶溪川文创街区、</w:t>
      </w:r>
      <w:r>
        <w:rPr>
          <w:rFonts w:hint="eastAsia" w:ascii="Times New Roman" w:hAnsi="Times New Roman" w:eastAsia="仿宋_GB2312" w:cs="仿宋_GB2312"/>
          <w:lang w:val="en-US" w:eastAsia="zh-CN"/>
        </w:rPr>
        <w:t>景德镇</w:t>
      </w:r>
      <w:r>
        <w:rPr>
          <w:rFonts w:hint="eastAsia" w:ascii="Times New Roman" w:hAnsi="Times New Roman" w:eastAsia="仿宋_GB2312" w:cs="仿宋_GB2312"/>
        </w:rPr>
        <w:t>陶瓷协会等维权援助工作站，健全基层维权服务网络</w:t>
      </w:r>
      <w:r>
        <w:rPr>
          <w:rFonts w:hint="eastAsia" w:ascii="Times New Roman" w:hAnsi="Times New Roman" w:eastAsia="仿宋_GB2312" w:cs="仿宋_GB2312"/>
          <w:lang w:eastAsia="zh-CN"/>
        </w:rPr>
        <w:t>，</w:t>
      </w:r>
      <w:r>
        <w:rPr>
          <w:rFonts w:hint="eastAsia" w:ascii="Times New Roman" w:hAnsi="Times New Roman" w:eastAsia="仿宋_GB2312" w:cs="仿宋_GB2312"/>
        </w:rPr>
        <w:t>规范维权援助工作流程，下沉服务资源、延伸保护</w:t>
      </w:r>
      <w:r>
        <w:rPr>
          <w:rFonts w:hint="eastAsia" w:ascii="Times New Roman" w:hAnsi="Times New Roman" w:eastAsia="仿宋_GB2312" w:cs="仿宋_GB2312"/>
          <w:lang w:val="en-US" w:eastAsia="zh-CN"/>
        </w:rPr>
        <w:t>服务</w:t>
      </w:r>
      <w:r>
        <w:rPr>
          <w:rFonts w:hint="eastAsia" w:ascii="Times New Roman" w:hAnsi="Times New Roman" w:eastAsia="仿宋_GB2312" w:cs="仿宋_GB2312"/>
        </w:rPr>
        <w:t>触角</w:t>
      </w:r>
      <w:r>
        <w:rPr>
          <w:rFonts w:hint="eastAsia" w:ascii="Times New Roman" w:hAnsi="Times New Roman" w:eastAsia="仿宋_GB2312" w:cs="仿宋_GB2312"/>
          <w:lang w:eastAsia="zh-CN"/>
        </w:rPr>
        <w:t>。</w:t>
      </w:r>
      <w:r>
        <w:rPr>
          <w:rFonts w:hint="eastAsia" w:ascii="Times New Roman" w:hAnsi="Times New Roman" w:eastAsia="仿宋_GB2312" w:cs="仿宋_GB2312"/>
        </w:rPr>
        <w:t>常态化开展</w:t>
      </w:r>
      <w:r>
        <w:rPr>
          <w:rFonts w:hint="eastAsia" w:ascii="Times New Roman" w:hAnsi="Times New Roman" w:eastAsia="仿宋_GB2312" w:cs="仿宋_GB2312"/>
          <w:lang w:val="en-US" w:eastAsia="zh-CN"/>
        </w:rPr>
        <w:t>知识产权</w:t>
      </w:r>
      <w:r>
        <w:rPr>
          <w:rFonts w:hint="eastAsia" w:ascii="Times New Roman" w:hAnsi="Times New Roman" w:eastAsia="仿宋_GB2312" w:cs="仿宋_GB2312"/>
        </w:rPr>
        <w:t>政策咨询、纠纷预判</w:t>
      </w:r>
      <w:r>
        <w:rPr>
          <w:rFonts w:hint="eastAsia" w:ascii="Times New Roman" w:hAnsi="Times New Roman" w:eastAsia="仿宋_GB2312" w:cs="仿宋_GB2312"/>
          <w:lang w:val="en-US" w:eastAsia="zh-CN"/>
        </w:rPr>
        <w:t>分析</w:t>
      </w:r>
      <w:r>
        <w:rPr>
          <w:rFonts w:hint="eastAsia" w:ascii="Times New Roman" w:hAnsi="Times New Roman" w:eastAsia="仿宋_GB2312" w:cs="仿宋_GB2312"/>
        </w:rPr>
        <w:t>、维权</w:t>
      </w:r>
      <w:r>
        <w:rPr>
          <w:rFonts w:hint="eastAsia" w:ascii="Times New Roman" w:hAnsi="Times New Roman" w:eastAsia="仿宋_GB2312" w:cs="仿宋_GB2312"/>
          <w:lang w:val="en-US" w:eastAsia="zh-CN"/>
        </w:rPr>
        <w:t>流程</w:t>
      </w:r>
      <w:r>
        <w:rPr>
          <w:rFonts w:hint="eastAsia" w:ascii="Times New Roman" w:hAnsi="Times New Roman" w:eastAsia="仿宋_GB2312" w:cs="仿宋_GB2312"/>
        </w:rPr>
        <w:t>指导、</w:t>
      </w:r>
      <w:r>
        <w:rPr>
          <w:rFonts w:hint="eastAsia" w:ascii="Times New Roman" w:hAnsi="Times New Roman" w:eastAsia="仿宋_GB2312" w:cs="仿宋_GB2312"/>
          <w:lang w:val="en-US" w:eastAsia="zh-CN"/>
        </w:rPr>
        <w:t>基层</w:t>
      </w:r>
      <w:r>
        <w:rPr>
          <w:rFonts w:hint="eastAsia" w:ascii="Times New Roman" w:hAnsi="Times New Roman" w:eastAsia="仿宋_GB2312" w:cs="仿宋_GB2312"/>
        </w:rPr>
        <w:t>纠纷调处</w:t>
      </w:r>
      <w:r>
        <w:rPr>
          <w:rFonts w:hint="eastAsia" w:ascii="Times New Roman" w:hAnsi="Times New Roman" w:eastAsia="仿宋_GB2312" w:cs="仿宋_GB2312"/>
          <w:lang w:val="en-US" w:eastAsia="zh-CN"/>
        </w:rPr>
        <w:t>等</w:t>
      </w:r>
      <w:r>
        <w:rPr>
          <w:rFonts w:hint="eastAsia" w:ascii="Times New Roman" w:hAnsi="Times New Roman" w:eastAsia="仿宋_GB2312" w:cs="仿宋_GB2312"/>
        </w:rPr>
        <w:t>服务，前置化解各类知识产权矛盾纠纷，夯实前端治理基础，实现知识产权维权服务就近可及、便捷高效，全面提升市场主体维权获得感。</w:t>
      </w:r>
    </w:p>
    <w:p w14:paraId="184B49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黑体" w:cs="黑体"/>
        </w:rPr>
      </w:pPr>
      <w:r>
        <w:rPr>
          <w:rFonts w:hint="eastAsia" w:ascii="Times New Roman" w:hAnsi="Times New Roman" w:eastAsia="黑体" w:cs="黑体"/>
        </w:rPr>
        <w:t>组织保障</w:t>
      </w:r>
    </w:p>
    <w:p w14:paraId="2C94AF44">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强化组织领导，压实工作责任</w:t>
      </w:r>
    </w:p>
    <w:p w14:paraId="362D745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szCs w:val="32"/>
        </w:rPr>
      </w:pPr>
      <w:r>
        <w:rPr>
          <w:rFonts w:hint="eastAsia" w:ascii="Times New Roman" w:hAnsi="Times New Roman" w:eastAsia="仿宋_GB2312" w:cs="仿宋_GB2312"/>
          <w:szCs w:val="32"/>
        </w:rPr>
        <w:t>各成员单位要高度重视知识产权纠纷快速处理工作，将其作为知识产权强市建设</w:t>
      </w:r>
      <w:r>
        <w:rPr>
          <w:rFonts w:hint="eastAsia" w:cs="仿宋_GB2312"/>
          <w:szCs w:val="32"/>
          <w:lang w:eastAsia="zh-CN"/>
        </w:rPr>
        <w:t>、</w:t>
      </w:r>
      <w:r>
        <w:rPr>
          <w:rFonts w:hint="eastAsia" w:cs="仿宋_GB2312"/>
          <w:szCs w:val="32"/>
          <w:lang w:val="en-US" w:eastAsia="zh-CN"/>
        </w:rPr>
        <w:t>优化营商环境、赋能产业高质量发展</w:t>
      </w:r>
      <w:r>
        <w:rPr>
          <w:rFonts w:hint="eastAsia" w:ascii="Times New Roman" w:hAnsi="Times New Roman" w:eastAsia="仿宋_GB2312" w:cs="仿宋_GB2312"/>
          <w:szCs w:val="32"/>
        </w:rPr>
        <w:t>的</w:t>
      </w:r>
      <w:r>
        <w:rPr>
          <w:rFonts w:hint="eastAsia" w:cs="仿宋_GB2312"/>
          <w:szCs w:val="32"/>
          <w:lang w:val="en-US" w:eastAsia="zh-CN"/>
        </w:rPr>
        <w:t>重点工作</w:t>
      </w:r>
      <w:r>
        <w:rPr>
          <w:rFonts w:hint="eastAsia" w:ascii="Times New Roman" w:hAnsi="Times New Roman" w:eastAsia="仿宋_GB2312" w:cs="仿宋_GB2312"/>
          <w:szCs w:val="32"/>
        </w:rPr>
        <w:t>抓实抓细。各单位</w:t>
      </w:r>
      <w:r>
        <w:rPr>
          <w:rFonts w:hint="eastAsia" w:cs="仿宋_GB2312"/>
          <w:szCs w:val="32"/>
          <w:lang w:val="en-US" w:eastAsia="zh-CN"/>
        </w:rPr>
        <w:t>要</w:t>
      </w:r>
      <w:r>
        <w:rPr>
          <w:rFonts w:hint="eastAsia" w:ascii="Times New Roman" w:hAnsi="Times New Roman" w:eastAsia="仿宋_GB2312" w:cs="仿宋_GB2312"/>
          <w:szCs w:val="32"/>
        </w:rPr>
        <w:t>明确分管领导、专职联络员，细化工作举措、压实</w:t>
      </w:r>
      <w:r>
        <w:rPr>
          <w:rFonts w:hint="eastAsia" w:cs="仿宋_GB2312"/>
          <w:szCs w:val="32"/>
          <w:lang w:val="en-US" w:eastAsia="zh-CN"/>
        </w:rPr>
        <w:t>岗位职责</w:t>
      </w:r>
      <w:r>
        <w:rPr>
          <w:rFonts w:hint="eastAsia" w:ascii="Times New Roman" w:hAnsi="Times New Roman" w:eastAsia="仿宋_GB2312" w:cs="仿宋_GB2312"/>
          <w:szCs w:val="32"/>
        </w:rPr>
        <w:t>，统筹推进各项工作落地落实，确保</w:t>
      </w:r>
      <w:r>
        <w:rPr>
          <w:rFonts w:hint="eastAsia" w:cs="仿宋_GB2312"/>
          <w:szCs w:val="32"/>
          <w:lang w:val="en-US" w:eastAsia="zh-CN"/>
        </w:rPr>
        <w:t>多部门</w:t>
      </w:r>
      <w:r>
        <w:rPr>
          <w:rFonts w:hint="eastAsia" w:ascii="Times New Roman" w:hAnsi="Times New Roman" w:eastAsia="仿宋_GB2312" w:cs="仿宋_GB2312"/>
          <w:szCs w:val="32"/>
        </w:rPr>
        <w:t>联动机制常态化</w:t>
      </w:r>
      <w:r>
        <w:rPr>
          <w:rFonts w:hint="eastAsia" w:cs="仿宋_GB2312"/>
          <w:szCs w:val="32"/>
          <w:lang w:val="en-US" w:eastAsia="zh-CN"/>
        </w:rPr>
        <w:t>运转，实现知识产权</w:t>
      </w:r>
      <w:r>
        <w:rPr>
          <w:rFonts w:hint="eastAsia" w:ascii="Times New Roman" w:hAnsi="Times New Roman" w:eastAsia="仿宋_GB2312" w:cs="仿宋_GB2312"/>
          <w:szCs w:val="32"/>
        </w:rPr>
        <w:t>纠纷</w:t>
      </w:r>
      <w:r>
        <w:rPr>
          <w:rFonts w:hint="eastAsia" w:cs="仿宋_GB2312"/>
          <w:szCs w:val="32"/>
          <w:lang w:val="en-US" w:eastAsia="zh-CN"/>
        </w:rPr>
        <w:t>快速处理规范化、</w:t>
      </w:r>
      <w:r>
        <w:rPr>
          <w:rFonts w:hint="eastAsia" w:ascii="Times New Roman" w:hAnsi="Times New Roman" w:eastAsia="仿宋_GB2312" w:cs="仿宋_GB2312"/>
          <w:szCs w:val="32"/>
        </w:rPr>
        <w:t>高效化</w:t>
      </w:r>
      <w:r>
        <w:rPr>
          <w:rFonts w:hint="eastAsia" w:cs="仿宋_GB2312"/>
          <w:szCs w:val="32"/>
          <w:lang w:eastAsia="zh-CN"/>
        </w:rPr>
        <w:t>、</w:t>
      </w:r>
      <w:r>
        <w:rPr>
          <w:rFonts w:hint="eastAsia" w:cs="仿宋_GB2312"/>
          <w:szCs w:val="32"/>
          <w:lang w:val="en-US" w:eastAsia="zh-CN"/>
        </w:rPr>
        <w:t>闭环化</w:t>
      </w:r>
      <w:r>
        <w:rPr>
          <w:rFonts w:hint="eastAsia" w:ascii="Times New Roman" w:hAnsi="Times New Roman" w:eastAsia="仿宋_GB2312" w:cs="仿宋_GB2312"/>
          <w:szCs w:val="32"/>
        </w:rPr>
        <w:t>推进。</w:t>
      </w:r>
    </w:p>
    <w:p w14:paraId="0840AF1D">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rPr>
        <w:t>强化政策</w:t>
      </w:r>
      <w:r>
        <w:rPr>
          <w:rFonts w:hint="eastAsia" w:ascii="楷体" w:hAnsi="楷体" w:eastAsia="楷体" w:cs="楷体"/>
          <w:b w:val="0"/>
          <w:bCs w:val="0"/>
          <w:sz w:val="32"/>
          <w:szCs w:val="32"/>
          <w:lang w:val="en-US" w:eastAsia="zh-CN"/>
        </w:rPr>
        <w:t>赋能，夯实工作基础</w:t>
      </w:r>
    </w:p>
    <w:p w14:paraId="2F788F2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szCs w:val="32"/>
        </w:rPr>
      </w:pPr>
      <w:r>
        <w:rPr>
          <w:rFonts w:hint="eastAsia" w:cs="仿宋_GB2312"/>
          <w:szCs w:val="32"/>
          <w:lang w:val="en-US" w:eastAsia="zh-CN"/>
        </w:rPr>
        <w:t>积极</w:t>
      </w:r>
      <w:r>
        <w:rPr>
          <w:rFonts w:hint="eastAsia" w:ascii="Times New Roman" w:hAnsi="Times New Roman" w:eastAsia="仿宋_GB2312" w:cs="仿宋_GB2312"/>
          <w:szCs w:val="32"/>
        </w:rPr>
        <w:t>持续争取市委、市政府政策、资金、人才支持，</w:t>
      </w:r>
      <w:r>
        <w:rPr>
          <w:rFonts w:hint="eastAsia" w:cs="仿宋_GB2312"/>
          <w:szCs w:val="32"/>
          <w:lang w:val="en-US" w:eastAsia="zh-CN"/>
        </w:rPr>
        <w:t>持续</w:t>
      </w:r>
      <w:r>
        <w:rPr>
          <w:rFonts w:hint="eastAsia" w:ascii="Times New Roman" w:hAnsi="Times New Roman" w:eastAsia="仿宋_GB2312" w:cs="仿宋_GB2312"/>
          <w:szCs w:val="32"/>
        </w:rPr>
        <w:t>完善知识产权维权补助、激励奖励、人才培育</w:t>
      </w:r>
      <w:r>
        <w:rPr>
          <w:rFonts w:hint="eastAsia" w:cs="仿宋_GB2312"/>
          <w:szCs w:val="32"/>
          <w:lang w:eastAsia="zh-CN"/>
        </w:rPr>
        <w:t>、</w:t>
      </w:r>
      <w:r>
        <w:rPr>
          <w:rFonts w:hint="eastAsia" w:cs="仿宋_GB2312"/>
          <w:szCs w:val="32"/>
          <w:lang w:val="en-US" w:eastAsia="zh-CN"/>
        </w:rPr>
        <w:t>服务保障</w:t>
      </w:r>
      <w:r>
        <w:rPr>
          <w:rFonts w:hint="eastAsia" w:ascii="Times New Roman" w:hAnsi="Times New Roman" w:eastAsia="仿宋_GB2312" w:cs="仿宋_GB2312"/>
          <w:szCs w:val="32"/>
        </w:rPr>
        <w:t>等配套政策。健全部门常态化沟通</w:t>
      </w:r>
      <w:r>
        <w:rPr>
          <w:rFonts w:hint="eastAsia" w:cs="仿宋_GB2312"/>
          <w:szCs w:val="32"/>
          <w:lang w:val="en-US" w:eastAsia="zh-CN"/>
        </w:rPr>
        <w:t>会商</w:t>
      </w:r>
      <w:r>
        <w:rPr>
          <w:rFonts w:hint="eastAsia" w:cs="仿宋_GB2312"/>
          <w:szCs w:val="32"/>
          <w:lang w:eastAsia="zh-CN"/>
        </w:rPr>
        <w:t>、</w:t>
      </w:r>
      <w:r>
        <w:rPr>
          <w:rFonts w:hint="eastAsia" w:ascii="Times New Roman" w:hAnsi="Times New Roman" w:eastAsia="仿宋_GB2312" w:cs="仿宋_GB2312"/>
          <w:szCs w:val="32"/>
        </w:rPr>
        <w:t>协调</w:t>
      </w:r>
      <w:r>
        <w:rPr>
          <w:rFonts w:hint="eastAsia" w:cs="仿宋_GB2312"/>
          <w:szCs w:val="32"/>
          <w:lang w:val="en-US" w:eastAsia="zh-CN"/>
        </w:rPr>
        <w:t>联动</w:t>
      </w:r>
      <w:r>
        <w:rPr>
          <w:rFonts w:hint="eastAsia" w:ascii="Times New Roman" w:hAnsi="Times New Roman" w:eastAsia="仿宋_GB2312" w:cs="仿宋_GB2312"/>
          <w:szCs w:val="32"/>
        </w:rPr>
        <w:t>机制，精准破解纠纷处置、</w:t>
      </w:r>
      <w:r>
        <w:rPr>
          <w:rFonts w:hint="eastAsia" w:cs="仿宋_GB2312"/>
          <w:szCs w:val="32"/>
          <w:lang w:val="en-US" w:eastAsia="zh-CN"/>
        </w:rPr>
        <w:t>跨部门协作</w:t>
      </w:r>
      <w:r>
        <w:rPr>
          <w:rFonts w:hint="eastAsia" w:ascii="Times New Roman" w:hAnsi="Times New Roman" w:eastAsia="仿宋_GB2312" w:cs="仿宋_GB2312"/>
          <w:szCs w:val="32"/>
        </w:rPr>
        <w:t>、服务保障中的</w:t>
      </w:r>
      <w:r>
        <w:rPr>
          <w:rFonts w:hint="eastAsia" w:cs="仿宋_GB2312"/>
          <w:szCs w:val="32"/>
          <w:lang w:val="en-US" w:eastAsia="zh-CN"/>
        </w:rPr>
        <w:t>堵点</w:t>
      </w:r>
      <w:r>
        <w:rPr>
          <w:rFonts w:hint="eastAsia" w:ascii="Times New Roman" w:hAnsi="Times New Roman" w:eastAsia="仿宋_GB2312" w:cs="仿宋_GB2312"/>
          <w:szCs w:val="32"/>
        </w:rPr>
        <w:t>难点问题，持续夯实</w:t>
      </w:r>
      <w:r>
        <w:rPr>
          <w:rFonts w:hint="eastAsia" w:cs="仿宋_GB2312"/>
          <w:szCs w:val="32"/>
          <w:lang w:val="en-US" w:eastAsia="zh-CN"/>
        </w:rPr>
        <w:t>知识产权</w:t>
      </w:r>
      <w:r>
        <w:rPr>
          <w:rFonts w:hint="eastAsia" w:ascii="Times New Roman" w:hAnsi="Times New Roman" w:eastAsia="仿宋_GB2312" w:cs="仿宋_GB2312"/>
          <w:szCs w:val="32"/>
        </w:rPr>
        <w:t>快速协同保护工作</w:t>
      </w:r>
      <w:r>
        <w:rPr>
          <w:rFonts w:hint="eastAsia" w:cs="仿宋_GB2312"/>
          <w:szCs w:val="32"/>
          <w:lang w:val="en-US" w:eastAsia="zh-CN"/>
        </w:rPr>
        <w:t>根基</w:t>
      </w:r>
      <w:r>
        <w:rPr>
          <w:rFonts w:hint="eastAsia" w:ascii="Times New Roman" w:hAnsi="Times New Roman" w:eastAsia="仿宋_GB2312" w:cs="仿宋_GB2312"/>
          <w:szCs w:val="32"/>
        </w:rPr>
        <w:t>。</w:t>
      </w:r>
    </w:p>
    <w:p w14:paraId="139AAFF3">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32" w:firstLineChars="200"/>
        <w:textAlignment w:val="auto"/>
        <w:outlineLvl w:val="1"/>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rPr>
        <w:t>强化宣传</w:t>
      </w:r>
      <w:r>
        <w:rPr>
          <w:rFonts w:hint="eastAsia" w:ascii="楷体" w:hAnsi="楷体" w:eastAsia="楷体" w:cs="楷体"/>
          <w:b w:val="0"/>
          <w:bCs w:val="0"/>
          <w:sz w:val="32"/>
          <w:szCs w:val="32"/>
          <w:lang w:val="en-US" w:eastAsia="zh-CN"/>
        </w:rPr>
        <w:t>引导，营造良好氛围</w:t>
      </w:r>
    </w:p>
    <w:p w14:paraId="68FEBA8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仿宋_GB2312"/>
          <w:szCs w:val="32"/>
          <w:vertAlign w:val="baseline"/>
        </w:rPr>
      </w:pPr>
      <w:r>
        <w:rPr>
          <w:rFonts w:hint="eastAsia" w:ascii="Times New Roman" w:hAnsi="Times New Roman" w:eastAsia="仿宋_GB2312" w:cs="仿宋_GB2312"/>
          <w:szCs w:val="32"/>
          <w:vertAlign w:val="baseline"/>
        </w:rPr>
        <w:t>通过官方平台、</w:t>
      </w:r>
      <w:r>
        <w:rPr>
          <w:rFonts w:hint="eastAsia" w:ascii="Times New Roman" w:hAnsi="Times New Roman" w:eastAsia="仿宋_GB2312" w:cs="仿宋_GB2312"/>
          <w:szCs w:val="32"/>
          <w:vertAlign w:val="baseline"/>
          <w:lang w:val="en-US" w:eastAsia="zh-CN"/>
        </w:rPr>
        <w:t>主流</w:t>
      </w:r>
      <w:r>
        <w:rPr>
          <w:rFonts w:hint="eastAsia" w:ascii="Times New Roman" w:hAnsi="Times New Roman" w:eastAsia="仿宋_GB2312" w:cs="仿宋_GB2312"/>
          <w:szCs w:val="32"/>
          <w:vertAlign w:val="baseline"/>
        </w:rPr>
        <w:t>媒体</w:t>
      </w:r>
      <w:r>
        <w:rPr>
          <w:rFonts w:hint="eastAsia" w:ascii="Times New Roman" w:hAnsi="Times New Roman" w:eastAsia="仿宋_GB2312" w:cs="仿宋_GB2312"/>
          <w:szCs w:val="32"/>
          <w:vertAlign w:val="baseline"/>
          <w:lang w:val="en-US" w:eastAsia="zh-CN"/>
        </w:rPr>
        <w:t>等</w:t>
      </w:r>
      <w:r>
        <w:rPr>
          <w:rFonts w:hint="eastAsia" w:ascii="Times New Roman" w:hAnsi="Times New Roman" w:eastAsia="仿宋_GB2312" w:cs="仿宋_GB2312"/>
          <w:szCs w:val="32"/>
          <w:vertAlign w:val="baseline"/>
        </w:rPr>
        <w:t>渠道广泛宣传，常态化开展知识产权普法宣传</w:t>
      </w:r>
      <w:r>
        <w:rPr>
          <w:rFonts w:hint="eastAsia" w:ascii="Times New Roman" w:hAnsi="Times New Roman" w:eastAsia="仿宋_GB2312" w:cs="仿宋_GB2312"/>
          <w:szCs w:val="32"/>
          <w:vertAlign w:val="baseline"/>
          <w:lang w:eastAsia="zh-CN"/>
        </w:rPr>
        <w:t>、</w:t>
      </w:r>
      <w:r>
        <w:rPr>
          <w:rFonts w:hint="eastAsia" w:ascii="Times New Roman" w:hAnsi="Times New Roman" w:eastAsia="仿宋_GB2312" w:cs="仿宋_GB2312"/>
          <w:szCs w:val="32"/>
          <w:vertAlign w:val="baseline"/>
        </w:rPr>
        <w:t>典型案例曝光</w:t>
      </w:r>
      <w:r>
        <w:rPr>
          <w:rFonts w:hint="eastAsia" w:ascii="Times New Roman" w:hAnsi="Times New Roman" w:eastAsia="仿宋_GB2312" w:cs="仿宋_GB2312"/>
          <w:szCs w:val="32"/>
          <w:vertAlign w:val="baseline"/>
          <w:lang w:val="en-US" w:eastAsia="zh-CN"/>
        </w:rPr>
        <w:t>工作</w:t>
      </w:r>
      <w:r>
        <w:rPr>
          <w:rFonts w:hint="eastAsia" w:ascii="Times New Roman" w:hAnsi="Times New Roman" w:eastAsia="仿宋_GB2312" w:cs="仿宋_GB2312"/>
          <w:szCs w:val="32"/>
          <w:vertAlign w:val="baseline"/>
        </w:rPr>
        <w:t>，重点</w:t>
      </w:r>
      <w:r>
        <w:rPr>
          <w:rFonts w:hint="eastAsia" w:ascii="Times New Roman" w:hAnsi="Times New Roman" w:eastAsia="仿宋_GB2312" w:cs="仿宋_GB2312"/>
          <w:szCs w:val="32"/>
          <w:vertAlign w:val="baseline"/>
          <w:lang w:val="en-US" w:eastAsia="zh-CN"/>
        </w:rPr>
        <w:t>解读</w:t>
      </w:r>
      <w:r>
        <w:rPr>
          <w:rFonts w:hint="eastAsia" w:ascii="Times New Roman" w:hAnsi="Times New Roman" w:eastAsia="仿宋_GB2312" w:cs="仿宋_GB2312"/>
          <w:szCs w:val="32"/>
          <w:vertAlign w:val="baseline"/>
        </w:rPr>
        <w:t>专利、商标、地理标志、商业秘密等领域</w:t>
      </w:r>
      <w:r>
        <w:rPr>
          <w:rFonts w:hint="eastAsia" w:ascii="Times New Roman" w:hAnsi="Times New Roman" w:eastAsia="仿宋_GB2312" w:cs="仿宋_GB2312"/>
          <w:szCs w:val="32"/>
          <w:vertAlign w:val="baseline"/>
          <w:lang w:val="en-US" w:eastAsia="zh-CN"/>
        </w:rPr>
        <w:t>知识产权</w:t>
      </w:r>
      <w:r>
        <w:rPr>
          <w:rFonts w:hint="eastAsia" w:ascii="Times New Roman" w:hAnsi="Times New Roman" w:eastAsia="仿宋_GB2312" w:cs="仿宋_GB2312"/>
          <w:szCs w:val="32"/>
          <w:vertAlign w:val="baseline"/>
        </w:rPr>
        <w:t>保护政策</w:t>
      </w:r>
      <w:r>
        <w:rPr>
          <w:rFonts w:hint="eastAsia" w:ascii="Times New Roman" w:hAnsi="Times New Roman" w:eastAsia="仿宋_GB2312" w:cs="仿宋_GB2312"/>
          <w:szCs w:val="32"/>
          <w:vertAlign w:val="baseline"/>
          <w:lang w:eastAsia="zh-CN"/>
        </w:rPr>
        <w:t>，以案释法震慑侵权违法行为。系统总结全市知识产权纠纷快速处理工作的创新举措、成熟经验和工作成效，加大宣传推广力度，持续提升市场主体维权意识和社会公众知识产权保护素养，营造“尊重创新、保护产权、诚信守法”的全社会知识产权保护良好生态。</w:t>
      </w:r>
    </w:p>
    <w:p w14:paraId="5782CB8E">
      <w:pPr>
        <w:keepNext w:val="0"/>
        <w:keepLines w:val="0"/>
        <w:pageBreakBefore w:val="0"/>
        <w:widowControl w:val="0"/>
        <w:kinsoku/>
        <w:wordWrap/>
        <w:overflowPunct/>
        <w:topLinePunct w:val="0"/>
        <w:autoSpaceDE/>
        <w:autoSpaceDN/>
        <w:bidi w:val="0"/>
        <w:adjustRightInd/>
        <w:snapToGrid/>
        <w:spacing w:line="14" w:lineRule="exact"/>
        <w:textAlignment w:val="auto"/>
        <w:rPr>
          <w:rFonts w:hint="eastAsia" w:ascii="Times New Roman" w:hAnsi="Times New Roman" w:eastAsia="仿宋_GB2312" w:cs="仿宋_GB2312"/>
          <w:szCs w:val="32"/>
          <w:vertAlign w:val="baseline"/>
        </w:rPr>
      </w:pPr>
    </w:p>
    <w:sectPr>
      <w:pgSz w:w="11906" w:h="16838"/>
      <w:pgMar w:top="2098" w:right="1474" w:bottom="1814" w:left="1588" w:header="851" w:footer="1400" w:gutter="0"/>
      <w:cols w:space="425"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C4AA4EB9-4D71-4E48-BEDE-B0EC3CFA08BE}"/>
  </w:font>
  <w:font w:name="宋体">
    <w:panose1 w:val="02010600030101010101"/>
    <w:charset w:val="50"/>
    <w:family w:val="auto"/>
    <w:pitch w:val="default"/>
    <w:sig w:usb0="00000203" w:usb1="288F0000" w:usb2="00000006" w:usb3="00000000" w:csb0="00040001" w:csb1="00000000"/>
    <w:embedRegular r:id="rId2" w:fontKey="{65280D60-E3E2-4228-B694-97048D2A8449}"/>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3" w:fontKey="{4F38DF79-807E-4498-938F-04E5622DEE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A966287B-FE89-4895-B8B4-35E7206202F6}"/>
  </w:font>
  <w:font w:name="仿宋">
    <w:panose1 w:val="02010609060101010101"/>
    <w:charset w:val="86"/>
    <w:family w:val="modern"/>
    <w:pitch w:val="default"/>
    <w:sig w:usb0="800002BF" w:usb1="38CF7CFA" w:usb2="00000016" w:usb3="00000000" w:csb0="00040001" w:csb1="00000000"/>
    <w:embedRegular r:id="rId5" w:fontKey="{52BBFEAC-DA85-4F9F-9D8E-C1031604CB2B}"/>
  </w:font>
  <w:font w:name="楷体">
    <w:panose1 w:val="02010609060101010101"/>
    <w:charset w:val="86"/>
    <w:family w:val="modern"/>
    <w:pitch w:val="default"/>
    <w:sig w:usb0="800002BF" w:usb1="38CF7CFA" w:usb2="00000016" w:usb3="00000000" w:csb0="00040001" w:csb1="00000000"/>
    <w:embedRegular r:id="rId6" w:fontKey="{57C1F289-9CE9-4A25-B46A-B1DE5F450C1E}"/>
  </w:font>
  <w:font w:name="方正小标宋简体">
    <w:panose1 w:val="02000000000000000000"/>
    <w:charset w:val="86"/>
    <w:family w:val="auto"/>
    <w:pitch w:val="default"/>
    <w:sig w:usb0="A00002BF" w:usb1="184F6CFA" w:usb2="00000012" w:usb3="00000000" w:csb0="00040001" w:csb1="00000000"/>
    <w:embedRegular r:id="rId7" w:fontKey="{D1883608-25E1-456E-A6E7-6806D2C273A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64D3F"/>
    <w:multiLevelType w:val="singleLevel"/>
    <w:tmpl w:val="CD764D3F"/>
    <w:lvl w:ilvl="0" w:tentative="0">
      <w:start w:val="1"/>
      <w:numFmt w:val="chineseCountingThousand"/>
      <w:suff w:val="nothing"/>
      <w:lvlText w:val="（%1）"/>
      <w:lvlJc w:val="left"/>
      <w:pPr>
        <w:tabs>
          <w:tab w:val="left" w:pos="420"/>
        </w:tabs>
        <w:ind w:left="0" w:leftChars="0" w:firstLine="0" w:firstLineChars="0"/>
      </w:pPr>
      <w:rPr>
        <w:rFonts w:hint="eastAsia"/>
      </w:rPr>
    </w:lvl>
  </w:abstractNum>
  <w:abstractNum w:abstractNumId="1">
    <w:nsid w:val="05C50B81"/>
    <w:multiLevelType w:val="singleLevel"/>
    <w:tmpl w:val="05C50B81"/>
    <w:lvl w:ilvl="0" w:tentative="0">
      <w:start w:val="1"/>
      <w:numFmt w:val="decimal"/>
      <w:suff w:val="nothing"/>
      <w:lvlText w:val="%1．"/>
      <w:lvlJc w:val="left"/>
      <w:pPr>
        <w:tabs>
          <w:tab w:val="left" w:pos="420"/>
        </w:tabs>
        <w:ind w:left="0" w:leftChars="0" w:firstLine="0" w:firstLineChars="0"/>
      </w:pPr>
    </w:lvl>
  </w:abstractNum>
  <w:abstractNum w:abstractNumId="2">
    <w:nsid w:val="237740CE"/>
    <w:multiLevelType w:val="multilevel"/>
    <w:tmpl w:val="237740CE"/>
    <w:lvl w:ilvl="0" w:tentative="0">
      <w:start w:val="1"/>
      <w:numFmt w:val="chineseCountingThousand"/>
      <w:pStyle w:val="17"/>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9083CB2"/>
    <w:multiLevelType w:val="singleLevel"/>
    <w:tmpl w:val="29083CB2"/>
    <w:lvl w:ilvl="0" w:tentative="0">
      <w:start w:val="1"/>
      <w:numFmt w:val="chineseCountingThousand"/>
      <w:suff w:val="nothing"/>
      <w:lvlText w:val="（%1）"/>
      <w:lvlJc w:val="left"/>
      <w:pPr>
        <w:tabs>
          <w:tab w:val="left" w:pos="420"/>
        </w:tabs>
        <w:ind w:left="0" w:leftChars="0" w:firstLine="0" w:firstLineChars="0"/>
      </w:pPr>
      <w:rPr>
        <w:rFonts w:hint="eastAsia"/>
      </w:rPr>
    </w:lvl>
  </w:abstractNum>
  <w:abstractNum w:abstractNumId="4">
    <w:nsid w:val="30F5745B"/>
    <w:multiLevelType w:val="multilevel"/>
    <w:tmpl w:val="30F5745B"/>
    <w:lvl w:ilvl="0" w:tentative="0">
      <w:start w:val="1"/>
      <w:numFmt w:val="decimal"/>
      <w:pStyle w:val="13"/>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76993F6"/>
    <w:multiLevelType w:val="singleLevel"/>
    <w:tmpl w:val="376993F6"/>
    <w:lvl w:ilvl="0" w:tentative="0">
      <w:start w:val="1"/>
      <w:numFmt w:val="chineseCounting"/>
      <w:suff w:val="nothing"/>
      <w:lvlText w:val="%1、"/>
      <w:lvlJc w:val="left"/>
      <w:rPr>
        <w:rFonts w:hint="eastAsia"/>
      </w:rPr>
    </w:lvl>
  </w:abstractNum>
  <w:abstractNum w:abstractNumId="6">
    <w:nsid w:val="41F04353"/>
    <w:multiLevelType w:val="multilevel"/>
    <w:tmpl w:val="41F04353"/>
    <w:lvl w:ilvl="0" w:tentative="0">
      <w:start w:val="1"/>
      <w:numFmt w:val="chineseCountingThousand"/>
      <w:pStyle w:val="19"/>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939001A"/>
    <w:multiLevelType w:val="multilevel"/>
    <w:tmpl w:val="6939001A"/>
    <w:lvl w:ilvl="0" w:tentative="0">
      <w:start w:val="1"/>
      <w:numFmt w:val="decimal"/>
      <w:pStyle w:val="15"/>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7"/>
  </w:num>
  <w:num w:numId="3">
    <w:abstractNumId w:val="2"/>
  </w:num>
  <w:num w:numId="4">
    <w:abstractNumId w:val="6"/>
  </w:num>
  <w:num w:numId="5">
    <w:abstractNumId w:val="5"/>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embedSystemFonts/>
  <w:saveSubsetFonts/>
  <w:bordersDoNotSurroundHeader w:val="0"/>
  <w:bordersDoNotSurroundFooter w:val="0"/>
  <w:documentProtection w:enforcement="0"/>
  <w:defaultTabStop w:val="420"/>
  <w:drawingGridHorizontalSpacing w:val="158"/>
  <w:drawingGridVerticalSpacing w:val="2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5ZGVjMzYwOGU1MDJlZjQxYWJhY2RjZTIyZmYxZWYifQ=="/>
  </w:docVars>
  <w:rsids>
    <w:rsidRoot w:val="225C42C4"/>
    <w:rsid w:val="00011223"/>
    <w:rsid w:val="00013C51"/>
    <w:rsid w:val="001169E4"/>
    <w:rsid w:val="00140BD7"/>
    <w:rsid w:val="001418EE"/>
    <w:rsid w:val="001A794D"/>
    <w:rsid w:val="002C5B55"/>
    <w:rsid w:val="002D7F1B"/>
    <w:rsid w:val="002E7FD5"/>
    <w:rsid w:val="0033305D"/>
    <w:rsid w:val="0038285B"/>
    <w:rsid w:val="003B7771"/>
    <w:rsid w:val="004B0213"/>
    <w:rsid w:val="004C5C2E"/>
    <w:rsid w:val="005115E1"/>
    <w:rsid w:val="00524A7C"/>
    <w:rsid w:val="00552A21"/>
    <w:rsid w:val="00561C23"/>
    <w:rsid w:val="0057516D"/>
    <w:rsid w:val="005822BC"/>
    <w:rsid w:val="005A0D97"/>
    <w:rsid w:val="005B5C8D"/>
    <w:rsid w:val="006724EC"/>
    <w:rsid w:val="006A49C8"/>
    <w:rsid w:val="006B5786"/>
    <w:rsid w:val="006E3F80"/>
    <w:rsid w:val="0070015E"/>
    <w:rsid w:val="00707781"/>
    <w:rsid w:val="00723F1A"/>
    <w:rsid w:val="007C2C45"/>
    <w:rsid w:val="00823E41"/>
    <w:rsid w:val="0086379B"/>
    <w:rsid w:val="00885225"/>
    <w:rsid w:val="008A76B5"/>
    <w:rsid w:val="008B506E"/>
    <w:rsid w:val="00910F7B"/>
    <w:rsid w:val="009B384E"/>
    <w:rsid w:val="00A00D19"/>
    <w:rsid w:val="00A13029"/>
    <w:rsid w:val="00A320A1"/>
    <w:rsid w:val="00B75327"/>
    <w:rsid w:val="00B80E37"/>
    <w:rsid w:val="00BC07A6"/>
    <w:rsid w:val="00BC7360"/>
    <w:rsid w:val="00BD3ED6"/>
    <w:rsid w:val="00BD5767"/>
    <w:rsid w:val="00C61470"/>
    <w:rsid w:val="00C67D03"/>
    <w:rsid w:val="00C9447D"/>
    <w:rsid w:val="00CB7AF0"/>
    <w:rsid w:val="00CC201E"/>
    <w:rsid w:val="00D649A7"/>
    <w:rsid w:val="00DB1521"/>
    <w:rsid w:val="00DB52C5"/>
    <w:rsid w:val="00DC294A"/>
    <w:rsid w:val="00DD6656"/>
    <w:rsid w:val="00DE14FA"/>
    <w:rsid w:val="00E06BB6"/>
    <w:rsid w:val="00E22275"/>
    <w:rsid w:val="00EB3FC5"/>
    <w:rsid w:val="00ED5980"/>
    <w:rsid w:val="00ED7F5B"/>
    <w:rsid w:val="00F15F2C"/>
    <w:rsid w:val="00F41225"/>
    <w:rsid w:val="00F4383C"/>
    <w:rsid w:val="00F60CD6"/>
    <w:rsid w:val="075F478A"/>
    <w:rsid w:val="0A226960"/>
    <w:rsid w:val="0BD747C8"/>
    <w:rsid w:val="0C843A2B"/>
    <w:rsid w:val="0FA26D92"/>
    <w:rsid w:val="10E52BDB"/>
    <w:rsid w:val="141F1648"/>
    <w:rsid w:val="17612329"/>
    <w:rsid w:val="1967665F"/>
    <w:rsid w:val="1A4069D2"/>
    <w:rsid w:val="1E5050F1"/>
    <w:rsid w:val="1E5C2592"/>
    <w:rsid w:val="1FC34F06"/>
    <w:rsid w:val="20BC0235"/>
    <w:rsid w:val="225C42C4"/>
    <w:rsid w:val="23574F64"/>
    <w:rsid w:val="23D86B58"/>
    <w:rsid w:val="271F4010"/>
    <w:rsid w:val="2A4C12A2"/>
    <w:rsid w:val="2AEA5922"/>
    <w:rsid w:val="2D253368"/>
    <w:rsid w:val="358044E4"/>
    <w:rsid w:val="35D666BB"/>
    <w:rsid w:val="37F16EDF"/>
    <w:rsid w:val="3F681006"/>
    <w:rsid w:val="47341C78"/>
    <w:rsid w:val="4B1666B4"/>
    <w:rsid w:val="527A39D4"/>
    <w:rsid w:val="54E3323A"/>
    <w:rsid w:val="573D769E"/>
    <w:rsid w:val="58FE045E"/>
    <w:rsid w:val="5E0F6D34"/>
    <w:rsid w:val="5FBC7B73"/>
    <w:rsid w:val="62316557"/>
    <w:rsid w:val="63A75E5A"/>
    <w:rsid w:val="69DD0881"/>
    <w:rsid w:val="6A1C3883"/>
    <w:rsid w:val="6A493B98"/>
    <w:rsid w:val="6AAF0369"/>
    <w:rsid w:val="6B720D71"/>
    <w:rsid w:val="6CB665FF"/>
    <w:rsid w:val="6DF877E3"/>
    <w:rsid w:val="6EDD3016"/>
    <w:rsid w:val="71641868"/>
    <w:rsid w:val="71710EA9"/>
    <w:rsid w:val="B5FAB92F"/>
    <w:rsid w:val="CAFBC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0"/>
    <w:qFormat/>
    <w:uiPriority w:val="1"/>
    <w:rPr>
      <w:rFonts w:ascii="宋体" w:hAnsi="宋体" w:eastAsia="宋体" w:cs="宋体"/>
      <w:szCs w:val="32"/>
    </w:rPr>
  </w:style>
  <w:style w:type="paragraph" w:styleId="3">
    <w:name w:val="Body Text First Indent"/>
    <w:basedOn w:val="2"/>
    <w:next w:val="1"/>
    <w:qFormat/>
    <w:uiPriority w:val="0"/>
    <w:pPr>
      <w:spacing w:after="120"/>
      <w:ind w:firstLine="420" w:firstLineChars="100"/>
    </w:pPr>
    <w:rPr>
      <w:rFonts w:ascii="Calibri" w:hAnsi="Calibri" w:cs="Times New Roman"/>
      <w:sz w:val="21"/>
      <w:szCs w:val="24"/>
    </w:rPr>
  </w:style>
  <w:style w:type="paragraph" w:styleId="4">
    <w:name w:val="Date"/>
    <w:basedOn w:val="1"/>
    <w:next w:val="1"/>
    <w:link w:val="29"/>
    <w:qFormat/>
    <w:uiPriority w:val="0"/>
    <w:pPr>
      <w:ind w:left="100" w:leftChars="2500"/>
    </w:pPr>
  </w:style>
  <w:style w:type="paragraph" w:styleId="5">
    <w:name w:val="footer"/>
    <w:basedOn w:val="1"/>
    <w:link w:val="28"/>
    <w:qFormat/>
    <w:uiPriority w:val="0"/>
    <w:pPr>
      <w:tabs>
        <w:tab w:val="center" w:pos="4153"/>
        <w:tab w:val="right" w:pos="8306"/>
      </w:tabs>
      <w:snapToGrid w:val="0"/>
      <w:jc w:val="left"/>
    </w:pPr>
    <w:rPr>
      <w:sz w:val="18"/>
      <w:szCs w:val="18"/>
    </w:rPr>
  </w:style>
  <w:style w:type="paragraph" w:styleId="6">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styleId="12">
    <w:name w:val="List Paragraph"/>
    <w:basedOn w:val="1"/>
    <w:qFormat/>
    <w:uiPriority w:val="99"/>
    <w:pPr>
      <w:ind w:firstLine="420" w:firstLineChars="200"/>
    </w:pPr>
  </w:style>
  <w:style w:type="paragraph" w:customStyle="1" w:styleId="13">
    <w:name w:val="公文:4级标题"/>
    <w:link w:val="14"/>
    <w:qFormat/>
    <w:uiPriority w:val="0"/>
    <w:pPr>
      <w:numPr>
        <w:ilvl w:val="0"/>
        <w:numId w:val="1"/>
      </w:numPr>
      <w:outlineLvl w:val="3"/>
    </w:pPr>
    <w:rPr>
      <w:rFonts w:eastAsia="仿宋" w:asciiTheme="minorHAnsi" w:hAnsiTheme="minorHAnsi" w:cstheme="minorBidi"/>
      <w:kern w:val="2"/>
      <w:sz w:val="32"/>
      <w:szCs w:val="24"/>
      <w:lang w:val="en-US" w:eastAsia="zh-CN" w:bidi="ar-SA"/>
    </w:rPr>
  </w:style>
  <w:style w:type="character" w:customStyle="1" w:styleId="14">
    <w:name w:val="公文:4级标题 字符"/>
    <w:basedOn w:val="10"/>
    <w:link w:val="13"/>
    <w:qFormat/>
    <w:uiPriority w:val="0"/>
    <w:rPr>
      <w:rFonts w:eastAsia="仿宋" w:asciiTheme="minorHAnsi" w:hAnsiTheme="minorHAnsi" w:cstheme="minorBidi"/>
      <w:kern w:val="2"/>
      <w:sz w:val="32"/>
      <w:szCs w:val="24"/>
    </w:rPr>
  </w:style>
  <w:style w:type="paragraph" w:customStyle="1" w:styleId="15">
    <w:name w:val="公文:3级标题"/>
    <w:link w:val="16"/>
    <w:qFormat/>
    <w:uiPriority w:val="0"/>
    <w:pPr>
      <w:numPr>
        <w:ilvl w:val="0"/>
        <w:numId w:val="2"/>
      </w:numPr>
      <w:outlineLvl w:val="2"/>
    </w:pPr>
    <w:rPr>
      <w:rFonts w:eastAsia="仿宋" w:asciiTheme="minorHAnsi" w:hAnsiTheme="minorHAnsi" w:cstheme="minorBidi"/>
      <w:kern w:val="2"/>
      <w:sz w:val="32"/>
      <w:szCs w:val="24"/>
      <w:lang w:val="en-US" w:eastAsia="zh-CN" w:bidi="ar-SA"/>
    </w:rPr>
  </w:style>
  <w:style w:type="character" w:customStyle="1" w:styleId="16">
    <w:name w:val="公文:3级标题 字符"/>
    <w:basedOn w:val="10"/>
    <w:link w:val="15"/>
    <w:qFormat/>
    <w:uiPriority w:val="0"/>
    <w:rPr>
      <w:rFonts w:eastAsia="仿宋" w:asciiTheme="minorHAnsi" w:hAnsiTheme="minorHAnsi" w:cstheme="minorBidi"/>
      <w:kern w:val="2"/>
      <w:sz w:val="32"/>
      <w:szCs w:val="24"/>
    </w:rPr>
  </w:style>
  <w:style w:type="paragraph" w:customStyle="1" w:styleId="17">
    <w:name w:val="公文:2级标题"/>
    <w:link w:val="18"/>
    <w:qFormat/>
    <w:uiPriority w:val="0"/>
    <w:pPr>
      <w:numPr>
        <w:ilvl w:val="0"/>
        <w:numId w:val="3"/>
      </w:numPr>
      <w:outlineLvl w:val="1"/>
    </w:pPr>
    <w:rPr>
      <w:rFonts w:eastAsia="楷体" w:asciiTheme="minorHAnsi" w:hAnsiTheme="minorHAnsi" w:cstheme="minorBidi"/>
      <w:kern w:val="2"/>
      <w:sz w:val="32"/>
      <w:szCs w:val="24"/>
      <w:lang w:val="en-US" w:eastAsia="zh-CN" w:bidi="ar-SA"/>
    </w:rPr>
  </w:style>
  <w:style w:type="character" w:customStyle="1" w:styleId="18">
    <w:name w:val="公文:2级标题 字符"/>
    <w:basedOn w:val="10"/>
    <w:link w:val="17"/>
    <w:qFormat/>
    <w:uiPriority w:val="0"/>
    <w:rPr>
      <w:rFonts w:eastAsia="楷体" w:asciiTheme="minorHAnsi" w:hAnsiTheme="minorHAnsi" w:cstheme="minorBidi"/>
      <w:kern w:val="2"/>
      <w:sz w:val="32"/>
      <w:szCs w:val="24"/>
    </w:rPr>
  </w:style>
  <w:style w:type="paragraph" w:customStyle="1" w:styleId="19">
    <w:name w:val="公文:1级标题"/>
    <w:link w:val="20"/>
    <w:qFormat/>
    <w:uiPriority w:val="0"/>
    <w:pPr>
      <w:numPr>
        <w:ilvl w:val="0"/>
        <w:numId w:val="4"/>
      </w:numPr>
      <w:outlineLvl w:val="0"/>
    </w:pPr>
    <w:rPr>
      <w:rFonts w:eastAsia="黑体" w:asciiTheme="minorHAnsi" w:hAnsiTheme="minorHAnsi" w:cstheme="minorBidi"/>
      <w:kern w:val="2"/>
      <w:sz w:val="32"/>
      <w:szCs w:val="24"/>
      <w:lang w:val="en-US" w:eastAsia="zh-CN" w:bidi="ar-SA"/>
    </w:rPr>
  </w:style>
  <w:style w:type="character" w:customStyle="1" w:styleId="20">
    <w:name w:val="公文:1级标题 字符"/>
    <w:basedOn w:val="10"/>
    <w:link w:val="19"/>
    <w:qFormat/>
    <w:uiPriority w:val="0"/>
    <w:rPr>
      <w:rFonts w:eastAsia="黑体" w:asciiTheme="minorHAnsi" w:hAnsiTheme="minorHAnsi" w:cstheme="minorBidi"/>
      <w:kern w:val="2"/>
      <w:sz w:val="32"/>
      <w:szCs w:val="24"/>
    </w:rPr>
  </w:style>
  <w:style w:type="paragraph" w:customStyle="1" w:styleId="21">
    <w:name w:val="公文:正文"/>
    <w:basedOn w:val="1"/>
    <w:link w:val="22"/>
    <w:qFormat/>
    <w:uiPriority w:val="0"/>
  </w:style>
  <w:style w:type="character" w:customStyle="1" w:styleId="22">
    <w:name w:val="公文:正文 字符"/>
    <w:basedOn w:val="10"/>
    <w:link w:val="21"/>
    <w:qFormat/>
    <w:uiPriority w:val="0"/>
    <w:rPr>
      <w:rFonts w:eastAsia="仿宋" w:asciiTheme="minorHAnsi" w:hAnsiTheme="minorHAnsi" w:cstheme="minorBidi"/>
      <w:kern w:val="2"/>
      <w:sz w:val="32"/>
      <w:szCs w:val="24"/>
    </w:rPr>
  </w:style>
  <w:style w:type="paragraph" w:customStyle="1" w:styleId="23">
    <w:name w:val="公文:正文(缩进)"/>
    <w:basedOn w:val="1"/>
    <w:link w:val="24"/>
    <w:qFormat/>
    <w:uiPriority w:val="0"/>
    <w:pPr>
      <w:ind w:firstLine="200" w:firstLineChars="200"/>
    </w:pPr>
  </w:style>
  <w:style w:type="character" w:customStyle="1" w:styleId="24">
    <w:name w:val="公文:正文(缩进) 字符"/>
    <w:basedOn w:val="10"/>
    <w:link w:val="23"/>
    <w:qFormat/>
    <w:uiPriority w:val="0"/>
    <w:rPr>
      <w:rFonts w:eastAsia="仿宋" w:asciiTheme="minorHAnsi" w:hAnsiTheme="minorHAnsi" w:cstheme="minorBidi"/>
      <w:kern w:val="2"/>
      <w:sz w:val="32"/>
      <w:szCs w:val="24"/>
    </w:rPr>
  </w:style>
  <w:style w:type="paragraph" w:customStyle="1" w:styleId="25">
    <w:name w:val="公文:标题"/>
    <w:basedOn w:val="1"/>
    <w:link w:val="26"/>
    <w:qFormat/>
    <w:uiPriority w:val="0"/>
    <w:pPr>
      <w:jc w:val="center"/>
    </w:pPr>
    <w:rPr>
      <w:rFonts w:eastAsia="方正小标宋简体"/>
      <w:sz w:val="44"/>
    </w:rPr>
  </w:style>
  <w:style w:type="character" w:customStyle="1" w:styleId="26">
    <w:name w:val="公文:标题 字符"/>
    <w:basedOn w:val="10"/>
    <w:link w:val="25"/>
    <w:qFormat/>
    <w:uiPriority w:val="0"/>
    <w:rPr>
      <w:rFonts w:eastAsia="方正小标宋简体" w:asciiTheme="minorHAnsi" w:hAnsiTheme="minorHAnsi" w:cstheme="minorBidi"/>
      <w:kern w:val="2"/>
      <w:sz w:val="44"/>
      <w:szCs w:val="24"/>
    </w:rPr>
  </w:style>
  <w:style w:type="character" w:customStyle="1" w:styleId="27">
    <w:name w:val="页眉 字符"/>
    <w:basedOn w:val="10"/>
    <w:link w:val="6"/>
    <w:qFormat/>
    <w:uiPriority w:val="0"/>
    <w:rPr>
      <w:rFonts w:asciiTheme="minorHAnsi" w:hAnsiTheme="minorHAnsi" w:eastAsiaTheme="minorEastAsia" w:cstheme="minorBidi"/>
      <w:kern w:val="2"/>
      <w:sz w:val="18"/>
      <w:szCs w:val="18"/>
    </w:rPr>
  </w:style>
  <w:style w:type="character" w:customStyle="1" w:styleId="28">
    <w:name w:val="页脚 字符"/>
    <w:basedOn w:val="10"/>
    <w:link w:val="5"/>
    <w:qFormat/>
    <w:uiPriority w:val="0"/>
    <w:rPr>
      <w:rFonts w:asciiTheme="minorHAnsi" w:hAnsiTheme="minorHAnsi" w:eastAsiaTheme="minorEastAsia" w:cstheme="minorBidi"/>
      <w:kern w:val="2"/>
      <w:sz w:val="18"/>
      <w:szCs w:val="18"/>
    </w:rPr>
  </w:style>
  <w:style w:type="character" w:customStyle="1" w:styleId="29">
    <w:name w:val="日期 字符"/>
    <w:basedOn w:val="10"/>
    <w:link w:val="4"/>
    <w:qFormat/>
    <w:uiPriority w:val="0"/>
    <w:rPr>
      <w:rFonts w:eastAsia="仿宋" w:asciiTheme="minorHAnsi" w:hAnsiTheme="minorHAnsi" w:cstheme="minorBidi"/>
      <w:kern w:val="2"/>
      <w:sz w:val="32"/>
      <w:szCs w:val="24"/>
    </w:rPr>
  </w:style>
  <w:style w:type="character" w:customStyle="1" w:styleId="30">
    <w:name w:val="正文文本 字符"/>
    <w:basedOn w:val="10"/>
    <w:link w:val="2"/>
    <w:qFormat/>
    <w:uiPriority w:val="1"/>
    <w:rPr>
      <w:rFonts w:ascii="宋体" w:hAnsi="宋体" w:cs="宋体"/>
      <w:kern w:val="2"/>
      <w:sz w:val="32"/>
      <w:szCs w:val="32"/>
    </w:rPr>
  </w:style>
  <w:style w:type="paragraph" w:customStyle="1" w:styleId="31">
    <w:name w:val="公文_发文机关标志"/>
    <w:basedOn w:val="1"/>
    <w:qFormat/>
    <w:uiPriority w:val="0"/>
    <w:pPr>
      <w:widowControl/>
      <w:jc w:val="center"/>
    </w:pPr>
    <w:rPr>
      <w:rFonts w:ascii="方正小标宋简体" w:hAnsi="Times New Roman" w:eastAsia="方正小标宋简体"/>
      <w:color w:val="FF0000"/>
      <w:sz w:val="72"/>
      <w:szCs w:val="7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835</Words>
  <Characters>4761</Characters>
  <Lines>39</Lines>
  <Paragraphs>11</Paragraphs>
  <TotalTime>12</TotalTime>
  <ScaleCrop>false</ScaleCrop>
  <LinksUpToDate>false</LinksUpToDate>
  <CharactersWithSpaces>5585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2023-12-05T19:43:00Z</dcterms:created>
  <dc:creator>刘翰承</dc:creator>
  <cp:lastModifiedBy>Administrator</cp:lastModifiedBy>
  <cp:lastPrinted>2026-06-30T01:46:00Z</cp:lastPrinted>
  <dcterms:modified xsi:type="dcterms:W3CDTF">2026-06-30T03:11:34Z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336874BF31D741A88E15B19360AC9764_13</vt:lpwstr>
  </property>
</Properties>
</file>