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国务院关于取消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一批行政许可等事项的决定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r>
        <w:rPr>
          <w:rFonts w:ascii="楷体" w:hAnsi="楷体" w:eastAsia="楷体" w:cs="楷体"/>
          <w:b w:val="0"/>
          <w:i w:val="0"/>
          <w:caps w:val="0"/>
          <w:color w:val="333333"/>
          <w:spacing w:val="0"/>
          <w:sz w:val="24"/>
          <w:szCs w:val="24"/>
          <w:bdr w:val="none" w:color="auto" w:sz="0" w:space="0"/>
          <w:shd w:val="clear" w:fill="FFFFFF"/>
        </w:rPr>
        <w:t>国发〔2018〕28号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经研究论证，国务院决定取消11项行政许可等事项，现予公布。另有6项依据有关法律设定的行政许可事项，国务院将依照法定程序提请全国人民代表大会常务委员会修订相关法律规定。对取消的行政许可等事项，相关部门要制定完善事中事后监管细则，自本决定发布之日起20个工作日内按规定向社会公布，并加强宣传解读、确保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附件：国务院决定取消的行政许可等事项目录（共计11项）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国务院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2018年7月28日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国务院决定取消的行政许可等事项目录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（共计11项）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p>
    <w:tbl>
      <w:tblPr>
        <w:tblW w:w="9071" w:type="dxa"/>
        <w:jc w:val="center"/>
        <w:tblInd w:w="-27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06"/>
        <w:gridCol w:w="1775"/>
        <w:gridCol w:w="1571"/>
        <w:gridCol w:w="1686"/>
        <w:gridCol w:w="32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序号</w:t>
            </w:r>
          </w:p>
        </w:tc>
        <w:tc>
          <w:tcPr>
            <w:tcW w:w="177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项目名称</w:t>
            </w:r>
          </w:p>
        </w:tc>
        <w:tc>
          <w:tcPr>
            <w:tcW w:w="157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审批部门</w:t>
            </w:r>
          </w:p>
        </w:tc>
        <w:tc>
          <w:tcPr>
            <w:tcW w:w="168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设定依据</w:t>
            </w:r>
          </w:p>
        </w:tc>
        <w:tc>
          <w:tcPr>
            <w:tcW w:w="323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加强事中事后监管措施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w:t>
            </w:r>
          </w:p>
        </w:tc>
        <w:tc>
          <w:tcPr>
            <w:tcW w:w="17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企业集团核准登记</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市场监管总局，省级工商行政管理部门</w:t>
            </w:r>
          </w:p>
        </w:tc>
        <w:tc>
          <w:tcPr>
            <w:tcW w:w="16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《中华人民共和国企业法人登记管理条例》</w:t>
            </w:r>
          </w:p>
        </w:tc>
        <w:tc>
          <w:tcPr>
            <w:tcW w:w="3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取消审批后，市场监管总局通过以下措施加强事中事后监管：</w:t>
            </w:r>
            <w:r>
              <w:rPr>
                <w:rFonts w:ascii="Calibri" w:hAnsi="Calibri" w:eastAsia="宋体" w:cs="Calibri"/>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.尽快修订有关法规规定，明确在名称中使用“集团”字样的标准和要求。</w:t>
            </w:r>
            <w:r>
              <w:rPr>
                <w:rFonts w:hint="default" w:ascii="Calibri" w:hAnsi="Calibri" w:eastAsia="宋体" w:cs="Calibri"/>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.强化企业母公司（集团公司）的信息公示，接受社会监督。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2</w:t>
            </w:r>
          </w:p>
        </w:tc>
        <w:tc>
          <w:tcPr>
            <w:tcW w:w="17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台港澳人员在内地就业许可</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设区的市级人力资源社会保障部门</w:t>
            </w:r>
          </w:p>
        </w:tc>
        <w:tc>
          <w:tcPr>
            <w:tcW w:w="16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《国务院对确需保留的行政审批项目设定行政许可的决定》（国务院令第</w:t>
            </w:r>
            <w:r>
              <w:rPr>
                <w:rFonts w:hint="default" w:ascii="Calibri" w:hAnsi="Calibri" w:eastAsia="宋体" w:cs="Calibri"/>
                <w:kern w:val="0"/>
                <w:sz w:val="20"/>
                <w:szCs w:val="20"/>
                <w:bdr w:val="none" w:color="auto" w:sz="0" w:space="0"/>
                <w:lang w:val="en-US" w:eastAsia="zh-CN" w:bidi="ar"/>
              </w:rPr>
              <w:t>412</w:t>
            </w:r>
            <w:r>
              <w:rPr>
                <w:rFonts w:hint="eastAsia" w:ascii="宋体" w:hAnsi="宋体" w:eastAsia="宋体" w:cs="宋体"/>
                <w:kern w:val="0"/>
                <w:sz w:val="20"/>
                <w:szCs w:val="20"/>
                <w:bdr w:val="none" w:color="auto" w:sz="0" w:space="0"/>
                <w:lang w:val="en-US" w:eastAsia="zh-CN" w:bidi="ar"/>
              </w:rPr>
              <w:t>号）</w:t>
            </w:r>
            <w:r>
              <w:rPr>
                <w:rFonts w:hint="eastAsia" w:ascii="宋体" w:hAnsi="宋体" w:eastAsia="宋体" w:cs="宋体"/>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《国务院关于第六批取消和调整行政审批项目的决定》（国发〔</w:t>
            </w:r>
            <w:r>
              <w:rPr>
                <w:rFonts w:hint="default" w:ascii="Calibri" w:hAnsi="Calibri" w:cs="Calibri" w:eastAsiaTheme="minorEastAsia"/>
                <w:kern w:val="0"/>
                <w:sz w:val="20"/>
                <w:szCs w:val="20"/>
                <w:bdr w:val="none" w:color="auto" w:sz="0" w:space="0"/>
                <w:lang w:val="en-US" w:eastAsia="zh-CN" w:bidi="ar"/>
              </w:rPr>
              <w:t>2012</w:t>
            </w:r>
            <w:r>
              <w:rPr>
                <w:rFonts w:hint="eastAsia" w:ascii="宋体" w:hAnsi="宋体" w:eastAsia="宋体" w:cs="宋体"/>
                <w:kern w:val="0"/>
                <w:sz w:val="20"/>
                <w:szCs w:val="20"/>
                <w:bdr w:val="none" w:color="auto" w:sz="0" w:space="0"/>
                <w:lang w:val="en-US" w:eastAsia="zh-CN" w:bidi="ar"/>
              </w:rPr>
              <w:t>〕</w:t>
            </w:r>
            <w:r>
              <w:rPr>
                <w:rFonts w:hint="default" w:ascii="Calibri" w:hAnsi="Calibri" w:cs="Calibri" w:eastAsiaTheme="minorEastAsia"/>
                <w:kern w:val="0"/>
                <w:sz w:val="20"/>
                <w:szCs w:val="20"/>
                <w:bdr w:val="none" w:color="auto" w:sz="0" w:space="0"/>
                <w:lang w:val="en-US" w:eastAsia="zh-CN" w:bidi="ar"/>
              </w:rPr>
              <w:t>52</w:t>
            </w:r>
            <w:r>
              <w:rPr>
                <w:rFonts w:hint="eastAsia" w:ascii="宋体" w:hAnsi="宋体" w:eastAsia="宋体" w:cs="宋体"/>
                <w:kern w:val="0"/>
                <w:sz w:val="20"/>
                <w:szCs w:val="20"/>
                <w:bdr w:val="none" w:color="auto" w:sz="0" w:space="0"/>
                <w:lang w:val="en-US" w:eastAsia="zh-CN" w:bidi="ar"/>
              </w:rPr>
              <w:t>号）</w:t>
            </w:r>
          </w:p>
        </w:tc>
        <w:tc>
          <w:tcPr>
            <w:tcW w:w="3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取消审批后，人力资源社会保障部通过以下措施加强事中事后监管：在台港澳人员就业服务、社会保障、失业登记、劳动权益保护等方面，尽快出台配套政策措施，并指导督促地方人力资源社会保障部门抓好落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3</w:t>
            </w:r>
          </w:p>
        </w:tc>
        <w:tc>
          <w:tcPr>
            <w:tcW w:w="17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机动车维修经营许可</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县级道路运输管理机构</w:t>
            </w:r>
          </w:p>
        </w:tc>
        <w:tc>
          <w:tcPr>
            <w:tcW w:w="16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《中华人民共和国道路运输条例》</w:t>
            </w:r>
          </w:p>
        </w:tc>
        <w:tc>
          <w:tcPr>
            <w:tcW w:w="3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取消审批后，交通运输部要制定完善并公布维修业务标准，督促地方交通运输主管部门通过以下措施加强事中事后监管：</w:t>
            </w:r>
            <w:r>
              <w:rPr>
                <w:rFonts w:hint="default" w:ascii="Calibri" w:hAnsi="Calibri" w:eastAsia="宋体" w:cs="Calibri"/>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.建立健全机动车维修经营备案制度，及时公布相关信息。</w:t>
            </w:r>
            <w:r>
              <w:rPr>
                <w:rFonts w:hint="default" w:ascii="Calibri" w:hAnsi="Calibri" w:eastAsia="宋体" w:cs="Calibri"/>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.要求机动车维修企业严格按照标准开展维修业务，维修服务完成后应提供明细单，作为车主追责依据。</w:t>
            </w:r>
            <w:r>
              <w:rPr>
                <w:rFonts w:hint="default" w:ascii="Calibri" w:hAnsi="Calibri" w:eastAsia="宋体" w:cs="Calibri"/>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.加强对机动车维修行为的监管，对维修企业出现违法违规行为，依法予以处罚。</w:t>
            </w:r>
            <w:r>
              <w:rPr>
                <w:rFonts w:hint="default" w:ascii="Calibri" w:hAnsi="Calibri" w:eastAsia="宋体" w:cs="Calibri"/>
                <w:kern w:val="0"/>
                <w:sz w:val="20"/>
                <w:szCs w:val="20"/>
                <w:bdr w:val="none" w:color="auto" w:sz="0" w:space="0"/>
                <w:lang w:val="en-US" w:eastAsia="zh-CN" w:bidi="ar"/>
              </w:rPr>
              <w:t>4</w:t>
            </w:r>
            <w:r>
              <w:rPr>
                <w:rFonts w:hint="eastAsia" w:ascii="宋体" w:hAnsi="宋体" w:eastAsia="宋体" w:cs="宋体"/>
                <w:kern w:val="0"/>
                <w:sz w:val="20"/>
                <w:szCs w:val="20"/>
                <w:bdr w:val="none" w:color="auto" w:sz="0" w:space="0"/>
                <w:lang w:val="en-US" w:eastAsia="zh-CN" w:bidi="ar"/>
              </w:rPr>
              <w:t>.建立黑名单制度，深入推进维修诚信体系建设。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4</w:t>
            </w:r>
          </w:p>
        </w:tc>
        <w:tc>
          <w:tcPr>
            <w:tcW w:w="17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外商投资道路运输业立项审批</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省级交通运输行政主管部门</w:t>
            </w:r>
          </w:p>
        </w:tc>
        <w:tc>
          <w:tcPr>
            <w:tcW w:w="16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《国务院关于取消和下放一批行政审批项目的决定》（国发〔</w:t>
            </w:r>
            <w:r>
              <w:rPr>
                <w:rFonts w:hint="default" w:ascii="Calibri" w:hAnsi="Calibri" w:eastAsia="宋体" w:cs="Calibri"/>
                <w:kern w:val="0"/>
                <w:sz w:val="20"/>
                <w:szCs w:val="20"/>
                <w:bdr w:val="none" w:color="auto" w:sz="0" w:space="0"/>
                <w:lang w:val="en-US" w:eastAsia="zh-CN" w:bidi="ar"/>
              </w:rPr>
              <w:t>2013</w:t>
            </w:r>
            <w:r>
              <w:rPr>
                <w:rFonts w:hint="eastAsia" w:ascii="宋体" w:hAnsi="宋体" w:eastAsia="宋体" w:cs="宋体"/>
                <w:kern w:val="0"/>
                <w:sz w:val="20"/>
                <w:szCs w:val="20"/>
                <w:bdr w:val="none" w:color="auto" w:sz="0" w:space="0"/>
                <w:lang w:val="en-US" w:eastAsia="zh-CN" w:bidi="ar"/>
              </w:rPr>
              <w:t>〕</w:t>
            </w:r>
            <w:r>
              <w:rPr>
                <w:rFonts w:hint="default" w:ascii="Calibri" w:hAnsi="Calibri" w:eastAsia="宋体" w:cs="Calibri"/>
                <w:kern w:val="0"/>
                <w:sz w:val="20"/>
                <w:szCs w:val="20"/>
                <w:bdr w:val="none" w:color="auto" w:sz="0" w:space="0"/>
                <w:lang w:val="en-US" w:eastAsia="zh-CN" w:bidi="ar"/>
              </w:rPr>
              <w:t>44</w:t>
            </w:r>
            <w:r>
              <w:rPr>
                <w:rFonts w:hint="eastAsia" w:ascii="宋体" w:hAnsi="宋体" w:eastAsia="宋体" w:cs="宋体"/>
                <w:kern w:val="0"/>
                <w:sz w:val="20"/>
                <w:szCs w:val="20"/>
                <w:bdr w:val="none" w:color="auto" w:sz="0" w:space="0"/>
                <w:lang w:val="en-US" w:eastAsia="zh-CN" w:bidi="ar"/>
              </w:rPr>
              <w:t>号）</w:t>
            </w:r>
          </w:p>
        </w:tc>
        <w:tc>
          <w:tcPr>
            <w:tcW w:w="3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取消审批后，交通运输部要督促地方交通运输主管部门通过以下措施加强事中事后监管：</w:t>
            </w:r>
            <w:r>
              <w:rPr>
                <w:rFonts w:hint="default" w:ascii="Calibri" w:hAnsi="Calibri" w:eastAsia="宋体" w:cs="Calibri"/>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.外商投资道路运输业享受国民待遇，严格按照国内道路运输经营相关规定进行管理，依法办理“道路旅客运输经营许可”、“道路货运经营许可”等相关行政许可事项。</w:t>
            </w:r>
            <w:r>
              <w:rPr>
                <w:rFonts w:hint="default" w:ascii="Calibri" w:hAnsi="Calibri" w:eastAsia="宋体" w:cs="Calibri"/>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.完善道路运输安全相关规定，加强安全检查，对违法违规行为，依法进行处罚。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5</w:t>
            </w:r>
          </w:p>
        </w:tc>
        <w:tc>
          <w:tcPr>
            <w:tcW w:w="17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农业机械维修技术合格证核发</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县级农业机械化主管部门</w:t>
            </w:r>
          </w:p>
        </w:tc>
        <w:tc>
          <w:tcPr>
            <w:tcW w:w="16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《农业机械安全监督管理条例》</w:t>
            </w:r>
          </w:p>
        </w:tc>
        <w:tc>
          <w:tcPr>
            <w:tcW w:w="3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取消审批后，农业农村部要制定完善农业机械维修相关标准和规范，督促地方农业机械化主管部门通过以下措施加强事中事后监管：</w:t>
            </w:r>
            <w:r>
              <w:rPr>
                <w:rFonts w:hint="default" w:ascii="Calibri" w:hAnsi="Calibri" w:eastAsia="宋体" w:cs="Calibri"/>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.规范维修企业服务，引导维修企业推行承诺服务制，加强行业自律，要求维修企业提供服务明细单，作为消费者追责依据。</w:t>
            </w:r>
            <w:r>
              <w:rPr>
                <w:rFonts w:hint="default" w:ascii="Calibri" w:hAnsi="Calibri" w:eastAsia="宋体" w:cs="Calibri"/>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.加强修理人员技能培训</w:t>
            </w:r>
            <w:r>
              <w:rPr>
                <w:rFonts w:hint="default" w:ascii="Calibri" w:hAnsi="Calibri" w:eastAsia="宋体" w:cs="Calibri"/>
                <w:kern w:val="0"/>
                <w:sz w:val="20"/>
                <w:szCs w:val="20"/>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提高维修队伍能力和水平。</w:t>
            </w:r>
            <w:r>
              <w:rPr>
                <w:rFonts w:hint="default" w:ascii="Calibri" w:hAnsi="Calibri" w:eastAsia="宋体" w:cs="Calibri"/>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.加大对农机维修企业的抽查检查力度，严厉处罚违法违规行为，处罚结果记入信用平台，实行联合惩戒。</w:t>
            </w:r>
            <w:r>
              <w:rPr>
                <w:rFonts w:hint="default" w:ascii="Calibri" w:hAnsi="Calibri" w:eastAsia="宋体" w:cs="Calibri"/>
                <w:kern w:val="0"/>
                <w:sz w:val="20"/>
                <w:szCs w:val="20"/>
                <w:bdr w:val="none" w:color="auto" w:sz="0" w:space="0"/>
                <w:lang w:val="en-US" w:eastAsia="zh-CN" w:bidi="ar"/>
              </w:rPr>
              <w:t>4</w:t>
            </w:r>
            <w:r>
              <w:rPr>
                <w:rFonts w:hint="eastAsia" w:ascii="宋体" w:hAnsi="宋体" w:eastAsia="宋体" w:cs="宋体"/>
                <w:kern w:val="0"/>
                <w:sz w:val="20"/>
                <w:szCs w:val="20"/>
                <w:bdr w:val="none" w:color="auto" w:sz="0" w:space="0"/>
                <w:lang w:val="en-US" w:eastAsia="zh-CN" w:bidi="ar"/>
              </w:rPr>
              <w:t>.畅通农机维修质量投诉渠道，有效维护消费者合法权益。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6</w:t>
            </w:r>
          </w:p>
        </w:tc>
        <w:tc>
          <w:tcPr>
            <w:tcW w:w="17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船舶进出渔港签证</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县级渔业行政主管部门</w:t>
            </w:r>
          </w:p>
        </w:tc>
        <w:tc>
          <w:tcPr>
            <w:tcW w:w="16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《中华人民共和国渔港水域交通安全管理条例》</w:t>
            </w:r>
          </w:p>
        </w:tc>
        <w:tc>
          <w:tcPr>
            <w:tcW w:w="3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取消审批后，改为实行报告制度。农业农村部要督促地方渔业行政主管部门通过以下措施加强事中事后监管：</w:t>
            </w:r>
            <w:r>
              <w:rPr>
                <w:rFonts w:hint="default" w:ascii="Calibri" w:hAnsi="Calibri" w:eastAsia="宋体" w:cs="Calibri"/>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.明确进出港报告的内容，加强渔船管理，简化船舶进出港手续。</w:t>
            </w:r>
            <w:r>
              <w:rPr>
                <w:rFonts w:hint="default" w:ascii="Calibri" w:hAnsi="Calibri" w:eastAsia="宋体" w:cs="Calibri"/>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.通过信息系统或渔船身份识别系统掌握进出渔港船舶的状况。</w:t>
            </w:r>
            <w:r>
              <w:rPr>
                <w:rFonts w:hint="default" w:ascii="Calibri" w:hAnsi="Calibri" w:eastAsia="宋体" w:cs="Calibri"/>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.加强重点时段、重点渔船的管理，伏季休渔期保证休渔地区渔船回船籍港休渔，大力整治涉渔“三无”船舶。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7</w:t>
            </w:r>
          </w:p>
        </w:tc>
        <w:tc>
          <w:tcPr>
            <w:tcW w:w="17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国家重点保护水生野生动物及其产品进出口初审</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省级渔业主管部门</w:t>
            </w:r>
          </w:p>
        </w:tc>
        <w:tc>
          <w:tcPr>
            <w:tcW w:w="16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《中华人民共和国水生野生动物保护实施条例》</w:t>
            </w:r>
            <w:r>
              <w:rPr>
                <w:rFonts w:hint="eastAsia" w:ascii="宋体" w:hAnsi="宋体" w:eastAsia="宋体" w:cs="宋体"/>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《中华人民共和国濒危野生动植物进出口管理条例》</w:t>
            </w:r>
          </w:p>
        </w:tc>
        <w:tc>
          <w:tcPr>
            <w:tcW w:w="3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取消地方初审后，由农业农村部直接受理审批。农业农村部通过以下措施加强事中事后监管：</w:t>
            </w:r>
            <w:r>
              <w:rPr>
                <w:rFonts w:hint="default" w:ascii="Calibri" w:hAnsi="Calibri" w:eastAsia="宋体" w:cs="Calibri"/>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.加强“国家重点保护水生野生动物及其产品进出口审批”，严格把关，防止有害外来生物入侵，严格控制我国珍稀动物资源外流。</w:t>
            </w:r>
            <w:r>
              <w:rPr>
                <w:rFonts w:hint="default" w:ascii="Calibri" w:hAnsi="Calibri" w:eastAsia="宋体" w:cs="Calibri"/>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.加强对水生野生动物进出口行为的监管，严厉打击违法进出口行为，处罚结果记入信用平台，实行联合惩戒。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8</w:t>
            </w:r>
          </w:p>
        </w:tc>
        <w:tc>
          <w:tcPr>
            <w:tcW w:w="17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国内企业在境外投资开办企业（金融企业除外）核准初审</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省级商务主管部门</w:t>
            </w:r>
          </w:p>
        </w:tc>
        <w:tc>
          <w:tcPr>
            <w:tcW w:w="16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《境外投资管理办法》（商务部令</w:t>
            </w:r>
            <w:r>
              <w:rPr>
                <w:rFonts w:hint="default" w:ascii="Calibri" w:hAnsi="Calibri" w:eastAsia="宋体" w:cs="Calibri"/>
                <w:kern w:val="0"/>
                <w:sz w:val="20"/>
                <w:szCs w:val="20"/>
                <w:bdr w:val="none" w:color="auto" w:sz="0" w:space="0"/>
                <w:lang w:val="en-US" w:eastAsia="zh-CN" w:bidi="ar"/>
              </w:rPr>
              <w:t>2014</w:t>
            </w:r>
            <w:r>
              <w:rPr>
                <w:rFonts w:hint="eastAsia" w:ascii="宋体" w:hAnsi="宋体" w:eastAsia="宋体" w:cs="宋体"/>
                <w:kern w:val="0"/>
                <w:sz w:val="20"/>
                <w:szCs w:val="20"/>
                <w:bdr w:val="none" w:color="auto" w:sz="0" w:space="0"/>
                <w:lang w:val="en-US" w:eastAsia="zh-CN" w:bidi="ar"/>
              </w:rPr>
              <w:t>年第</w:t>
            </w:r>
            <w:r>
              <w:rPr>
                <w:rFonts w:hint="default" w:ascii="Calibri" w:hAnsi="Calibri" w:eastAsia="宋体" w:cs="Calibri"/>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号）</w:t>
            </w:r>
          </w:p>
        </w:tc>
        <w:tc>
          <w:tcPr>
            <w:tcW w:w="3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取消地方初审后，由商务部直接受理审批。商务部通过以下措施加强事中事后监管：采取重点督查和“双随机、一公开”检查等方式加强监管。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9</w:t>
            </w:r>
          </w:p>
        </w:tc>
        <w:tc>
          <w:tcPr>
            <w:tcW w:w="17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设立分公司备案</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省级及以下工商行政管理部门</w:t>
            </w:r>
          </w:p>
        </w:tc>
        <w:tc>
          <w:tcPr>
            <w:tcW w:w="16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《中华人民共和国公司登记管理条例》</w:t>
            </w:r>
          </w:p>
        </w:tc>
        <w:tc>
          <w:tcPr>
            <w:tcW w:w="3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取消该事项后，工商和市场监管部门通过以下措施加强事中事后监管：建设维护信息系统，完善规章制度，明确分公司设立信息要及时推送、及时更新、及时掌握，加强监管。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10</w:t>
            </w:r>
          </w:p>
        </w:tc>
        <w:tc>
          <w:tcPr>
            <w:tcW w:w="17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外商投资合伙企业设立、变更、注销分支机构备案</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省级及以下工商行政管理部门</w:t>
            </w:r>
          </w:p>
        </w:tc>
        <w:tc>
          <w:tcPr>
            <w:tcW w:w="16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《外商投资合伙企业登记管理规定》（原工商总局令</w:t>
            </w:r>
            <w:r>
              <w:rPr>
                <w:rFonts w:hint="default" w:ascii="Calibri" w:hAnsi="Calibri" w:eastAsia="宋体" w:cs="Calibri"/>
                <w:kern w:val="0"/>
                <w:sz w:val="20"/>
                <w:szCs w:val="20"/>
                <w:bdr w:val="none" w:color="auto" w:sz="0" w:space="0"/>
                <w:lang w:val="en-US" w:eastAsia="zh-CN" w:bidi="ar"/>
              </w:rPr>
              <w:t>2014</w:t>
            </w:r>
            <w:r>
              <w:rPr>
                <w:rFonts w:hint="eastAsia" w:ascii="宋体" w:hAnsi="宋体" w:eastAsia="宋体" w:cs="宋体"/>
                <w:kern w:val="0"/>
                <w:sz w:val="20"/>
                <w:szCs w:val="20"/>
                <w:bdr w:val="none" w:color="auto" w:sz="0" w:space="0"/>
                <w:lang w:val="en-US" w:eastAsia="zh-CN" w:bidi="ar"/>
              </w:rPr>
              <w:t>年第</w:t>
            </w:r>
            <w:r>
              <w:rPr>
                <w:rFonts w:hint="default" w:ascii="Calibri" w:hAnsi="Calibri" w:eastAsia="宋体" w:cs="Calibri"/>
                <w:kern w:val="0"/>
                <w:sz w:val="20"/>
                <w:szCs w:val="20"/>
                <w:bdr w:val="none" w:color="auto" w:sz="0" w:space="0"/>
                <w:lang w:val="en-US" w:eastAsia="zh-CN" w:bidi="ar"/>
              </w:rPr>
              <w:t>63</w:t>
            </w:r>
            <w:r>
              <w:rPr>
                <w:rFonts w:hint="eastAsia" w:ascii="宋体" w:hAnsi="宋体" w:eastAsia="宋体" w:cs="宋体"/>
                <w:kern w:val="0"/>
                <w:sz w:val="20"/>
                <w:szCs w:val="20"/>
                <w:bdr w:val="none" w:color="auto" w:sz="0" w:space="0"/>
                <w:lang w:val="en-US" w:eastAsia="zh-CN" w:bidi="ar"/>
              </w:rPr>
              <w:t>号）</w:t>
            </w:r>
          </w:p>
        </w:tc>
        <w:tc>
          <w:tcPr>
            <w:tcW w:w="3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取消该事项后，工商和市场监管部门通过以下措施加强事中事后监管：建设维护好信息系统，完善规章制度，明确分支机构设立、变更、注销信息要及时推送、及时更新、及时掌握，加强部门协同监管。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11</w:t>
            </w:r>
          </w:p>
        </w:tc>
        <w:tc>
          <w:tcPr>
            <w:tcW w:w="17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营业执照作废声明</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各级工商行政管理部门</w:t>
            </w:r>
          </w:p>
        </w:tc>
        <w:tc>
          <w:tcPr>
            <w:tcW w:w="16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《中华人民共和国公司登记管理条例》</w:t>
            </w:r>
          </w:p>
        </w:tc>
        <w:tc>
          <w:tcPr>
            <w:tcW w:w="3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取消该事项后，工商和市场监管部门采取以下管理措施加强事中事后监管：对营业执照遗失或损毁申请补领的，不再要求申请人委托媒体刊登作废声明，改为在审批部门官方网站免费发布公告。</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3730A"/>
    <w:rsid w:val="65537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2018-08-03T08:08:00Z</dcterms:created>
  <dc:creator>Administrator</dc:creator>
  <cp:lastModifiedBy>Administrator</cp:lastModifiedBy>
  <dcterms:modified xsi:type="dcterms:W3CDTF">2018-08-03T08:09:49Z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